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B762" w14:textId="35D6003D" w:rsidR="00DA335B" w:rsidRDefault="00DA335B" w:rsidP="00972703">
      <w:pPr>
        <w:spacing w:before="480"/>
        <w:jc w:val="center"/>
        <w:rPr>
          <w:b/>
          <w:bCs/>
          <w:sz w:val="28"/>
          <w:szCs w:val="28"/>
        </w:rPr>
      </w:pPr>
      <w:r w:rsidRPr="000808BA">
        <w:rPr>
          <w:b/>
          <w:bCs/>
          <w:noProof/>
          <w:sz w:val="32"/>
          <w:szCs w:val="32"/>
        </w:rPr>
        <w:drawing>
          <wp:anchor distT="0" distB="0" distL="114300" distR="114300" simplePos="0" relativeHeight="251659264" behindDoc="0" locked="0" layoutInCell="1" allowOverlap="1" wp14:anchorId="2F13290A" wp14:editId="1FC5384E">
            <wp:simplePos x="0" y="0"/>
            <wp:positionH relativeFrom="column">
              <wp:posOffset>-635</wp:posOffset>
            </wp:positionH>
            <wp:positionV relativeFrom="paragraph">
              <wp:posOffset>107</wp:posOffset>
            </wp:positionV>
            <wp:extent cx="5760720" cy="844550"/>
            <wp:effectExtent l="0" t="0" r="0" b="0"/>
            <wp:wrapTopAndBottom/>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ILTP Logo.jpg"/>
                    <pic:cNvPicPr/>
                  </pic:nvPicPr>
                  <pic:blipFill>
                    <a:blip r:embed="rId5">
                      <a:extLst>
                        <a:ext uri="{28A0092B-C50C-407E-A947-70E740481C1C}">
                          <a14:useLocalDpi xmlns:a14="http://schemas.microsoft.com/office/drawing/2010/main" val="0"/>
                        </a:ext>
                      </a:extLst>
                    </a:blip>
                    <a:stretch>
                      <a:fillRect/>
                    </a:stretch>
                  </pic:blipFill>
                  <pic:spPr>
                    <a:xfrm>
                      <a:off x="0" y="0"/>
                      <a:ext cx="5760720" cy="84455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Roundtable</w:t>
      </w:r>
      <w:r w:rsidRPr="00DA335B">
        <w:rPr>
          <w:b/>
          <w:bCs/>
          <w:sz w:val="28"/>
          <w:szCs w:val="28"/>
        </w:rPr>
        <w:t xml:space="preserve"> of the</w:t>
      </w:r>
      <w:r w:rsidR="00972703">
        <w:rPr>
          <w:b/>
          <w:bCs/>
          <w:sz w:val="28"/>
          <w:szCs w:val="28"/>
        </w:rPr>
        <w:br/>
      </w:r>
      <w:r w:rsidRPr="00DA335B">
        <w:rPr>
          <w:b/>
          <w:bCs/>
          <w:sz w:val="28"/>
          <w:szCs w:val="28"/>
        </w:rPr>
        <w:t>Interest Group on</w:t>
      </w:r>
      <w:r w:rsidR="00972703">
        <w:rPr>
          <w:b/>
          <w:bCs/>
          <w:sz w:val="28"/>
          <w:szCs w:val="28"/>
        </w:rPr>
        <w:t xml:space="preserve"> </w:t>
      </w:r>
      <w:r w:rsidRPr="00DA335B">
        <w:rPr>
          <w:b/>
          <w:bCs/>
          <w:sz w:val="28"/>
          <w:szCs w:val="28"/>
        </w:rPr>
        <w:t>International Legal Theory and Philosophy</w:t>
      </w:r>
      <w:r w:rsidR="00972703">
        <w:rPr>
          <w:b/>
          <w:bCs/>
          <w:sz w:val="28"/>
          <w:szCs w:val="28"/>
        </w:rPr>
        <w:br/>
      </w:r>
      <w:r w:rsidRPr="00DA335B">
        <w:rPr>
          <w:b/>
          <w:bCs/>
          <w:sz w:val="28"/>
          <w:szCs w:val="28"/>
        </w:rPr>
        <w:t>to be held on the occasion of the</w:t>
      </w:r>
      <w:r w:rsidR="00972703">
        <w:rPr>
          <w:b/>
          <w:bCs/>
          <w:sz w:val="28"/>
          <w:szCs w:val="28"/>
        </w:rPr>
        <w:t xml:space="preserve"> </w:t>
      </w:r>
      <w:r w:rsidRPr="00DA335B">
        <w:rPr>
          <w:b/>
          <w:bCs/>
          <w:sz w:val="28"/>
          <w:szCs w:val="28"/>
        </w:rPr>
        <w:t>Annual Conference of the European Society of International Law,</w:t>
      </w:r>
      <w:r w:rsidR="00972703">
        <w:rPr>
          <w:b/>
          <w:bCs/>
          <w:sz w:val="28"/>
          <w:szCs w:val="28"/>
        </w:rPr>
        <w:t xml:space="preserve"> </w:t>
      </w:r>
      <w:r w:rsidRPr="00DA335B">
        <w:rPr>
          <w:b/>
          <w:bCs/>
          <w:sz w:val="28"/>
          <w:szCs w:val="28"/>
        </w:rPr>
        <w:t xml:space="preserve">Stockholm, </w:t>
      </w:r>
      <w:r w:rsidR="000846F8">
        <w:rPr>
          <w:b/>
          <w:bCs/>
          <w:sz w:val="28"/>
          <w:szCs w:val="28"/>
        </w:rPr>
        <w:t>9</w:t>
      </w:r>
      <w:r w:rsidRPr="00DA335B">
        <w:rPr>
          <w:b/>
          <w:bCs/>
          <w:sz w:val="28"/>
          <w:szCs w:val="28"/>
        </w:rPr>
        <w:t xml:space="preserve"> September 2020</w:t>
      </w:r>
    </w:p>
    <w:p w14:paraId="5122C1EA" w14:textId="1B28FE4A" w:rsidR="00DA335B" w:rsidRDefault="00DA335B" w:rsidP="00DA335B">
      <w:pPr>
        <w:jc w:val="center"/>
        <w:rPr>
          <w:b/>
          <w:bCs/>
          <w:sz w:val="28"/>
          <w:szCs w:val="28"/>
        </w:rPr>
      </w:pPr>
      <w:r>
        <w:rPr>
          <w:b/>
          <w:bCs/>
          <w:sz w:val="28"/>
          <w:szCs w:val="28"/>
        </w:rPr>
        <w:t>Call for Papers</w:t>
      </w:r>
    </w:p>
    <w:p w14:paraId="0EB02CAF" w14:textId="17AEFA36" w:rsidR="00DA335B" w:rsidRDefault="00DA335B" w:rsidP="00DA335B">
      <w:pPr>
        <w:jc w:val="center"/>
        <w:rPr>
          <w:b/>
          <w:bCs/>
          <w:sz w:val="28"/>
          <w:szCs w:val="28"/>
        </w:rPr>
      </w:pPr>
    </w:p>
    <w:p w14:paraId="0C9797CF" w14:textId="77777777" w:rsidR="00E21DC8" w:rsidRDefault="00E21DC8" w:rsidP="00DA335B">
      <w:pPr>
        <w:jc w:val="center"/>
        <w:rPr>
          <w:b/>
          <w:bCs/>
          <w:sz w:val="28"/>
          <w:szCs w:val="28"/>
        </w:rPr>
      </w:pPr>
      <w:r>
        <w:rPr>
          <w:b/>
          <w:bCs/>
          <w:sz w:val="28"/>
          <w:szCs w:val="28"/>
        </w:rPr>
        <w:t xml:space="preserve">Theories and Methodologies in </w:t>
      </w:r>
    </w:p>
    <w:p w14:paraId="2EC1ABC8" w14:textId="19441F2D" w:rsidR="00DA335B" w:rsidRPr="00DA335B" w:rsidRDefault="008F136A" w:rsidP="00DA335B">
      <w:pPr>
        <w:jc w:val="center"/>
        <w:rPr>
          <w:b/>
          <w:bCs/>
          <w:sz w:val="28"/>
          <w:szCs w:val="28"/>
        </w:rPr>
      </w:pPr>
      <w:r>
        <w:rPr>
          <w:b/>
          <w:bCs/>
          <w:sz w:val="28"/>
          <w:szCs w:val="28"/>
        </w:rPr>
        <w:t>t</w:t>
      </w:r>
      <w:r w:rsidR="00E21DC8">
        <w:rPr>
          <w:b/>
          <w:bCs/>
          <w:sz w:val="28"/>
          <w:szCs w:val="28"/>
        </w:rPr>
        <w:t xml:space="preserve">he Contemporary Study of International </w:t>
      </w:r>
      <w:proofErr w:type="spellStart"/>
      <w:r w:rsidR="00E21DC8">
        <w:rPr>
          <w:b/>
          <w:bCs/>
          <w:sz w:val="28"/>
          <w:szCs w:val="28"/>
        </w:rPr>
        <w:t>Lawmaking</w:t>
      </w:r>
      <w:proofErr w:type="spellEnd"/>
    </w:p>
    <w:p w14:paraId="3E7447B9" w14:textId="77777777" w:rsidR="00DA335B" w:rsidRPr="00972703" w:rsidRDefault="00DA335B" w:rsidP="00DA335B">
      <w:pPr>
        <w:jc w:val="both"/>
        <w:rPr>
          <w:lang w:val="en-US"/>
        </w:rPr>
      </w:pPr>
    </w:p>
    <w:p w14:paraId="567AA4E1" w14:textId="31114B09" w:rsidR="00DA335B" w:rsidRPr="00972703" w:rsidRDefault="00EA17CC" w:rsidP="00DA335B">
      <w:pPr>
        <w:jc w:val="both"/>
        <w:rPr>
          <w:lang w:val="en-US"/>
        </w:rPr>
      </w:pPr>
      <w:r w:rsidRPr="00972703">
        <w:rPr>
          <w:lang w:val="en-US"/>
        </w:rPr>
        <w:t xml:space="preserve">The way </w:t>
      </w:r>
      <w:proofErr w:type="gramStart"/>
      <w:r w:rsidRPr="00972703">
        <w:rPr>
          <w:lang w:val="en-US"/>
        </w:rPr>
        <w:t>scholars</w:t>
      </w:r>
      <w:proofErr w:type="gramEnd"/>
      <w:r w:rsidRPr="00972703">
        <w:rPr>
          <w:lang w:val="en-US"/>
        </w:rPr>
        <w:t xml:space="preserve"> study international lawmaking </w:t>
      </w:r>
      <w:r w:rsidR="008F136A" w:rsidRPr="00972703">
        <w:rPr>
          <w:lang w:val="en-US"/>
        </w:rPr>
        <w:t xml:space="preserve">has </w:t>
      </w:r>
      <w:r w:rsidRPr="00972703">
        <w:rPr>
          <w:lang w:val="en-US"/>
        </w:rPr>
        <w:t xml:space="preserve">changed significantly over time. The </w:t>
      </w:r>
      <w:r w:rsidR="00157FCF" w:rsidRPr="00972703">
        <w:rPr>
          <w:lang w:val="en-US"/>
        </w:rPr>
        <w:t xml:space="preserve">scholarship witnesses a </w:t>
      </w:r>
      <w:r w:rsidRPr="00972703">
        <w:rPr>
          <w:lang w:val="en-US"/>
        </w:rPr>
        <w:t xml:space="preserve">flourishing variety of theoretical approaches and empirical investigations aimed at uncovering new facets of international lawmaking. </w:t>
      </w:r>
      <w:r w:rsidR="00107C45" w:rsidRPr="00972703">
        <w:rPr>
          <w:lang w:val="en-US"/>
        </w:rPr>
        <w:t>The IGILTP invites applications for a roundtable to discuss various theories and methodological approaches utilized today to study international lawmaking understood broadly. If recently you investigated any aspect of international lawmaking and would like to share your experience with regard to theoretical and methodological challenges, we would be delighted to receive your proposal. The roundtable will be dedicated not to substantive issues related to lawmaking but on theories and methodologies utilized by scholars in the study of various facets of international lawmaking focusing on the following questions:</w:t>
      </w:r>
    </w:p>
    <w:p w14:paraId="3AE4B219" w14:textId="1ADDF092" w:rsidR="00107C45" w:rsidRPr="00972703" w:rsidRDefault="00107C45" w:rsidP="00107C45">
      <w:pPr>
        <w:pStyle w:val="ListParagraph"/>
        <w:numPr>
          <w:ilvl w:val="0"/>
          <w:numId w:val="2"/>
        </w:numPr>
        <w:jc w:val="both"/>
        <w:rPr>
          <w:lang w:val="en-US"/>
        </w:rPr>
      </w:pPr>
      <w:r w:rsidRPr="00972703">
        <w:rPr>
          <w:lang w:val="en-US"/>
        </w:rPr>
        <w:t>What is the particular theory or methodology you used?</w:t>
      </w:r>
    </w:p>
    <w:p w14:paraId="4F62E45C" w14:textId="1EA2936B" w:rsidR="00107C45" w:rsidRPr="00972703" w:rsidRDefault="00107C45" w:rsidP="00107C45">
      <w:pPr>
        <w:pStyle w:val="ListParagraph"/>
        <w:numPr>
          <w:ilvl w:val="0"/>
          <w:numId w:val="2"/>
        </w:numPr>
        <w:jc w:val="both"/>
        <w:rPr>
          <w:lang w:val="en-US"/>
        </w:rPr>
      </w:pPr>
      <w:r w:rsidRPr="00972703">
        <w:rPr>
          <w:lang w:val="en-US"/>
        </w:rPr>
        <w:t>How this theory or methodology was utilized?</w:t>
      </w:r>
    </w:p>
    <w:p w14:paraId="5DFE37E0" w14:textId="6E8352B1" w:rsidR="00107C45" w:rsidRPr="00972703" w:rsidRDefault="00107C45" w:rsidP="00107C45">
      <w:pPr>
        <w:pStyle w:val="ListParagraph"/>
        <w:numPr>
          <w:ilvl w:val="0"/>
          <w:numId w:val="2"/>
        </w:numPr>
        <w:jc w:val="both"/>
        <w:rPr>
          <w:lang w:val="en-US"/>
        </w:rPr>
      </w:pPr>
      <w:r w:rsidRPr="00972703">
        <w:rPr>
          <w:lang w:val="en-US"/>
        </w:rPr>
        <w:t>What particular utility it had for the study of international lawmaking?</w:t>
      </w:r>
    </w:p>
    <w:p w14:paraId="3F083A53" w14:textId="06945EA9" w:rsidR="00107C45" w:rsidRPr="00972703" w:rsidRDefault="00107C45" w:rsidP="00107C45">
      <w:pPr>
        <w:pStyle w:val="ListParagraph"/>
        <w:numPr>
          <w:ilvl w:val="0"/>
          <w:numId w:val="2"/>
        </w:numPr>
        <w:jc w:val="both"/>
        <w:rPr>
          <w:lang w:val="en-US"/>
        </w:rPr>
      </w:pPr>
      <w:r w:rsidRPr="00972703">
        <w:rPr>
          <w:lang w:val="en-US"/>
        </w:rPr>
        <w:t>In what circumstances would you recommend this theory or methodology for the study of other aspects of international lawmaking?</w:t>
      </w:r>
    </w:p>
    <w:p w14:paraId="05003019" w14:textId="241D918A" w:rsidR="00107C45" w:rsidRDefault="00107C45" w:rsidP="00107C45">
      <w:pPr>
        <w:pStyle w:val="ListParagraph"/>
        <w:numPr>
          <w:ilvl w:val="0"/>
          <w:numId w:val="2"/>
        </w:numPr>
        <w:jc w:val="both"/>
        <w:rPr>
          <w:lang w:val="en-US"/>
        </w:rPr>
      </w:pPr>
      <w:r w:rsidRPr="00972703">
        <w:rPr>
          <w:lang w:val="en-US"/>
        </w:rPr>
        <w:t>What is this theory or methodology unable to achieve?</w:t>
      </w:r>
    </w:p>
    <w:p w14:paraId="20F70346" w14:textId="34151E4B" w:rsidR="00DA335B" w:rsidRPr="00AA0DBF" w:rsidRDefault="00AA0DBF" w:rsidP="00AA0DBF">
      <w:pPr>
        <w:pStyle w:val="ListParagraph"/>
        <w:numPr>
          <w:ilvl w:val="0"/>
          <w:numId w:val="2"/>
        </w:numPr>
        <w:rPr>
          <w:rFonts w:asciiTheme="minorHAnsi" w:eastAsia="Times New Roman" w:hAnsiTheme="minorHAnsi" w:cstheme="minorHAnsi"/>
          <w:lang w:val="en-IE"/>
        </w:rPr>
      </w:pPr>
      <w:r w:rsidRPr="00AA0DBF">
        <w:rPr>
          <w:rFonts w:asciiTheme="minorHAnsi" w:eastAsia="Times New Roman" w:hAnsiTheme="minorHAnsi" w:cstheme="minorHAnsi"/>
          <w:color w:val="201F1E"/>
          <w:shd w:val="clear" w:color="auto" w:fill="FFFFFF"/>
          <w:lang w:val="en-IE"/>
        </w:rPr>
        <w:t>Why is this theory or methodology better than others?</w:t>
      </w:r>
    </w:p>
    <w:p w14:paraId="63E972A7" w14:textId="612D1323" w:rsidR="00DA335B" w:rsidRPr="00972703" w:rsidRDefault="00DA335B" w:rsidP="00AA0DBF">
      <w:pPr>
        <w:pStyle w:val="Default"/>
        <w:spacing w:before="120"/>
        <w:jc w:val="both"/>
        <w:rPr>
          <w:rFonts w:ascii="Calibri" w:hAnsi="Calibri" w:cs="Calibri"/>
          <w:b/>
          <w:bCs/>
        </w:rPr>
      </w:pPr>
      <w:bookmarkStart w:id="0" w:name="_GoBack"/>
      <w:r w:rsidRPr="00972703">
        <w:rPr>
          <w:rFonts w:ascii="Calibri" w:hAnsi="Calibri" w:cs="Calibri"/>
          <w:b/>
          <w:bCs/>
          <w:lang w:val="en-US"/>
        </w:rPr>
        <w:t>Submission procedure</w:t>
      </w:r>
    </w:p>
    <w:bookmarkEnd w:id="0"/>
    <w:p w14:paraId="0DE05EE4" w14:textId="1D83890F" w:rsidR="00DA335B" w:rsidRPr="00972703" w:rsidRDefault="00DA335B" w:rsidP="00DA335B">
      <w:pPr>
        <w:pStyle w:val="Default"/>
        <w:jc w:val="both"/>
        <w:rPr>
          <w:rFonts w:ascii="Calibri" w:hAnsi="Calibri" w:cs="Calibri"/>
          <w:lang w:val="en-US"/>
        </w:rPr>
      </w:pPr>
      <w:r w:rsidRPr="00972703">
        <w:rPr>
          <w:rFonts w:ascii="Calibri" w:hAnsi="Calibri" w:cs="Calibri"/>
          <w:lang w:val="en-US"/>
        </w:rPr>
        <w:t>Ple</w:t>
      </w:r>
      <w:r w:rsidR="00C74D9F" w:rsidRPr="00972703">
        <w:rPr>
          <w:rFonts w:ascii="Calibri" w:hAnsi="Calibri" w:cs="Calibri"/>
          <w:lang w:val="en-US"/>
        </w:rPr>
        <w:t>a</w:t>
      </w:r>
      <w:r w:rsidRPr="00972703">
        <w:rPr>
          <w:rFonts w:ascii="Calibri" w:hAnsi="Calibri" w:cs="Calibri"/>
          <w:lang w:val="en-US"/>
        </w:rPr>
        <w:t xml:space="preserve">se submit an abstract no longer than 500 words together with a short author(s) bio (no longer than 100 words) to the panel organizer Ekaterina Yahyaoui </w:t>
      </w:r>
      <w:proofErr w:type="spellStart"/>
      <w:r w:rsidRPr="00972703">
        <w:rPr>
          <w:rFonts w:ascii="Calibri" w:hAnsi="Calibri" w:cs="Calibri"/>
          <w:lang w:val="en-US"/>
        </w:rPr>
        <w:t>Krivenko</w:t>
      </w:r>
      <w:proofErr w:type="spellEnd"/>
      <w:r w:rsidRPr="00972703">
        <w:rPr>
          <w:rFonts w:ascii="Calibri" w:hAnsi="Calibri" w:cs="Calibri"/>
          <w:lang w:val="en-US"/>
        </w:rPr>
        <w:t xml:space="preserve"> (</w:t>
      </w:r>
      <w:hyperlink r:id="rId6" w:history="1">
        <w:r w:rsidRPr="00972703">
          <w:rPr>
            <w:rStyle w:val="Hyperlink"/>
            <w:rFonts w:ascii="Calibri" w:hAnsi="Calibri" w:cs="Calibri"/>
            <w:lang w:val="en-US"/>
          </w:rPr>
          <w:t>ekaterina.yahyaoui@nuigalway.ie</w:t>
        </w:r>
      </w:hyperlink>
      <w:r w:rsidRPr="00972703">
        <w:rPr>
          <w:rFonts w:ascii="Calibri" w:hAnsi="Calibri" w:cs="Calibri"/>
          <w:lang w:val="en-US"/>
        </w:rPr>
        <w:t>). Please provide the following information with each abstract:</w:t>
      </w:r>
    </w:p>
    <w:p w14:paraId="73A50BB8" w14:textId="77777777" w:rsidR="00DA335B" w:rsidRPr="00972703" w:rsidRDefault="00DA335B" w:rsidP="00DA335B">
      <w:pPr>
        <w:pStyle w:val="Default"/>
        <w:numPr>
          <w:ilvl w:val="0"/>
          <w:numId w:val="1"/>
        </w:numPr>
        <w:jc w:val="both"/>
        <w:rPr>
          <w:rFonts w:ascii="Calibri" w:hAnsi="Calibri" w:cs="Calibri"/>
          <w:lang w:val="en-US"/>
        </w:rPr>
      </w:pPr>
      <w:r w:rsidRPr="00972703">
        <w:rPr>
          <w:rFonts w:ascii="Calibri" w:hAnsi="Calibri" w:cs="Calibri"/>
          <w:lang w:val="en-US"/>
        </w:rPr>
        <w:t xml:space="preserve">Author’s </w:t>
      </w:r>
      <w:r w:rsidRPr="00972703">
        <w:rPr>
          <w:rFonts w:ascii="Calibri" w:hAnsi="Calibri" w:cs="Calibri"/>
        </w:rPr>
        <w:t>name</w:t>
      </w:r>
      <w:r w:rsidRPr="00972703">
        <w:rPr>
          <w:rFonts w:ascii="Calibri" w:hAnsi="Calibri" w:cs="Calibri"/>
          <w:lang w:val="en-US"/>
        </w:rPr>
        <w:t>, affiliation, email and phone contact details;</w:t>
      </w:r>
    </w:p>
    <w:p w14:paraId="6E01E7CC" w14:textId="3705AB94" w:rsidR="00DA335B" w:rsidRPr="00972703" w:rsidRDefault="00DA335B" w:rsidP="00DA335B">
      <w:pPr>
        <w:pStyle w:val="Default"/>
        <w:numPr>
          <w:ilvl w:val="0"/>
          <w:numId w:val="1"/>
        </w:numPr>
        <w:jc w:val="both"/>
        <w:rPr>
          <w:rFonts w:ascii="Calibri" w:hAnsi="Calibri" w:cs="Calibri"/>
          <w:lang w:val="en-US"/>
        </w:rPr>
      </w:pPr>
      <w:r w:rsidRPr="00972703">
        <w:rPr>
          <w:rFonts w:ascii="Calibri" w:hAnsi="Calibri" w:cs="Calibri"/>
          <w:lang w:val="en-US"/>
        </w:rPr>
        <w:t>Whether the author is a current ESIL member;</w:t>
      </w:r>
    </w:p>
    <w:p w14:paraId="0E9FDA79" w14:textId="07136301" w:rsidR="00DA335B" w:rsidRPr="00972703" w:rsidRDefault="00DA335B" w:rsidP="00DA335B">
      <w:pPr>
        <w:pStyle w:val="Default"/>
        <w:jc w:val="both"/>
        <w:rPr>
          <w:rFonts w:ascii="Calibri" w:hAnsi="Calibri" w:cs="Calibri"/>
        </w:rPr>
      </w:pPr>
      <w:r w:rsidRPr="00972703">
        <w:rPr>
          <w:rFonts w:ascii="Calibri" w:hAnsi="Calibri" w:cs="Calibri"/>
        </w:rPr>
        <w:t xml:space="preserve">The deadline for the submission of abstracts is </w:t>
      </w:r>
      <w:r w:rsidR="00E21DC8" w:rsidRPr="00972703">
        <w:rPr>
          <w:rFonts w:ascii="Calibri" w:hAnsi="Calibri" w:cs="Calibri"/>
          <w:b/>
        </w:rPr>
        <w:t>2</w:t>
      </w:r>
      <w:r w:rsidR="00C74D9F" w:rsidRPr="00972703">
        <w:rPr>
          <w:rFonts w:ascii="Calibri" w:hAnsi="Calibri" w:cs="Calibri"/>
          <w:b/>
        </w:rPr>
        <w:t>5</w:t>
      </w:r>
      <w:r w:rsidRPr="00972703">
        <w:rPr>
          <w:rFonts w:ascii="Calibri" w:hAnsi="Calibri" w:cs="Calibri"/>
          <w:b/>
        </w:rPr>
        <w:t xml:space="preserve"> </w:t>
      </w:r>
      <w:r w:rsidR="00E21DC8" w:rsidRPr="00972703">
        <w:rPr>
          <w:rFonts w:ascii="Calibri" w:hAnsi="Calibri" w:cs="Calibri"/>
          <w:b/>
        </w:rPr>
        <w:t>April</w:t>
      </w:r>
      <w:r w:rsidRPr="00972703">
        <w:rPr>
          <w:rFonts w:ascii="Calibri" w:hAnsi="Calibri" w:cs="Calibri"/>
          <w:b/>
        </w:rPr>
        <w:t xml:space="preserve"> 20</w:t>
      </w:r>
      <w:r w:rsidR="00E21DC8" w:rsidRPr="00972703">
        <w:rPr>
          <w:rFonts w:ascii="Calibri" w:hAnsi="Calibri" w:cs="Calibri"/>
          <w:b/>
        </w:rPr>
        <w:t>20</w:t>
      </w:r>
      <w:r w:rsidRPr="00972703">
        <w:rPr>
          <w:rFonts w:ascii="Calibri" w:hAnsi="Calibri" w:cs="Calibri"/>
        </w:rPr>
        <w:t>.</w:t>
      </w:r>
    </w:p>
    <w:p w14:paraId="2E26A1B7" w14:textId="51C113A8" w:rsidR="00DA335B" w:rsidRPr="00972703" w:rsidRDefault="00DA335B" w:rsidP="00DA335B">
      <w:pPr>
        <w:pStyle w:val="Default"/>
        <w:jc w:val="both"/>
        <w:rPr>
          <w:rFonts w:ascii="Calibri" w:hAnsi="Calibri" w:cs="Calibri"/>
        </w:rPr>
      </w:pPr>
      <w:r w:rsidRPr="00972703">
        <w:rPr>
          <w:rFonts w:ascii="Calibri" w:hAnsi="Calibri" w:cs="Calibri"/>
          <w:lang w:val="en-US"/>
        </w:rPr>
        <w:t xml:space="preserve">Successful applicants will be informed no later than </w:t>
      </w:r>
      <w:r w:rsidRPr="00972703">
        <w:rPr>
          <w:rFonts w:ascii="Calibri" w:hAnsi="Calibri" w:cs="Calibri"/>
          <w:b/>
          <w:bCs/>
          <w:lang w:val="en-US"/>
        </w:rPr>
        <w:t>3</w:t>
      </w:r>
      <w:r w:rsidR="00E21DC8" w:rsidRPr="00972703">
        <w:rPr>
          <w:rFonts w:ascii="Calibri" w:hAnsi="Calibri" w:cs="Calibri"/>
          <w:b/>
          <w:bCs/>
          <w:lang w:val="en-US"/>
        </w:rPr>
        <w:t>0</w:t>
      </w:r>
      <w:r w:rsidRPr="00972703">
        <w:rPr>
          <w:rFonts w:ascii="Calibri" w:hAnsi="Calibri" w:cs="Calibri"/>
          <w:b/>
          <w:bCs/>
          <w:lang w:val="en-US"/>
        </w:rPr>
        <w:t xml:space="preserve"> </w:t>
      </w:r>
      <w:r w:rsidR="00E21DC8" w:rsidRPr="00972703">
        <w:rPr>
          <w:rFonts w:ascii="Calibri" w:hAnsi="Calibri" w:cs="Calibri"/>
          <w:b/>
          <w:bCs/>
          <w:lang w:val="en-US"/>
        </w:rPr>
        <w:t>April</w:t>
      </w:r>
      <w:r w:rsidRPr="00972703">
        <w:rPr>
          <w:rFonts w:ascii="Calibri" w:hAnsi="Calibri" w:cs="Calibri"/>
          <w:b/>
          <w:bCs/>
          <w:lang w:val="en-US"/>
        </w:rPr>
        <w:t xml:space="preserve"> 20</w:t>
      </w:r>
      <w:r w:rsidR="00E21DC8" w:rsidRPr="00972703">
        <w:rPr>
          <w:rFonts w:ascii="Calibri" w:hAnsi="Calibri" w:cs="Calibri"/>
          <w:b/>
          <w:bCs/>
          <w:lang w:val="en-US"/>
        </w:rPr>
        <w:t>20</w:t>
      </w:r>
      <w:r w:rsidRPr="00972703">
        <w:rPr>
          <w:rFonts w:ascii="Calibri" w:hAnsi="Calibri" w:cs="Calibri"/>
          <w:lang w:val="en-US"/>
        </w:rPr>
        <w:t>.</w:t>
      </w:r>
    </w:p>
    <w:p w14:paraId="08A35E93" w14:textId="77777777" w:rsidR="00DA335B" w:rsidRPr="00972703" w:rsidRDefault="00DA335B" w:rsidP="00DA335B">
      <w:pPr>
        <w:jc w:val="both"/>
        <w:rPr>
          <w:lang w:val="en-US"/>
        </w:rPr>
      </w:pPr>
    </w:p>
    <w:p w14:paraId="62F1763C" w14:textId="6C0DBF55" w:rsidR="00E21DC8" w:rsidRPr="00972703" w:rsidRDefault="00E21DC8" w:rsidP="00E21DC8">
      <w:pPr>
        <w:autoSpaceDE w:val="0"/>
        <w:autoSpaceDN w:val="0"/>
        <w:adjustRightInd w:val="0"/>
        <w:jc w:val="both"/>
        <w:rPr>
          <w:color w:val="000000"/>
          <w:sz w:val="20"/>
          <w:szCs w:val="20"/>
          <w:lang w:eastAsia="en-US"/>
        </w:rPr>
      </w:pPr>
      <w:r w:rsidRPr="00972703">
        <w:rPr>
          <w:color w:val="000000"/>
          <w:sz w:val="20"/>
          <w:szCs w:val="20"/>
          <w:lang w:eastAsia="en-US"/>
        </w:rPr>
        <w:t xml:space="preserve">The Interest Group is unable to provide funding for travel and accommodation. Selected speakers will be expected to bear the costs of their own travel and accommodation. Some ESIL travel grants and ESIL carers grants will be available to offer partial financial support to speakers who have exhausted other potential sources of funding. Please see the </w:t>
      </w:r>
      <w:hyperlink r:id="rId7" w:history="1">
        <w:r w:rsidRPr="00972703">
          <w:rPr>
            <w:rStyle w:val="Hyperlink"/>
            <w:sz w:val="20"/>
            <w:szCs w:val="20"/>
            <w:lang w:eastAsia="en-US"/>
          </w:rPr>
          <w:t>ESIL website</w:t>
        </w:r>
      </w:hyperlink>
      <w:r w:rsidRPr="00972703">
        <w:rPr>
          <w:color w:val="000000"/>
          <w:sz w:val="20"/>
          <w:szCs w:val="20"/>
          <w:lang w:eastAsia="en-US"/>
        </w:rPr>
        <w:t xml:space="preserve"> for all relevant information about the conference. </w:t>
      </w:r>
    </w:p>
    <w:p w14:paraId="6451CA8A" w14:textId="77777777" w:rsidR="00E21DC8" w:rsidRPr="00972703" w:rsidRDefault="00E21DC8" w:rsidP="00E21DC8">
      <w:pPr>
        <w:autoSpaceDE w:val="0"/>
        <w:autoSpaceDN w:val="0"/>
        <w:adjustRightInd w:val="0"/>
        <w:jc w:val="both"/>
        <w:rPr>
          <w:color w:val="000000"/>
          <w:sz w:val="20"/>
          <w:szCs w:val="20"/>
          <w:lang w:eastAsia="en-US"/>
        </w:rPr>
      </w:pPr>
      <w:r w:rsidRPr="00972703">
        <w:rPr>
          <w:color w:val="000000"/>
          <w:sz w:val="20"/>
          <w:szCs w:val="20"/>
          <w:lang w:eastAsia="en-US"/>
        </w:rPr>
        <w:t xml:space="preserve">All participants at ESIL Interest Group workshops are required to register for the Annual Conference. There will be an option to register just for one day to attend the workshop; however, all participants are warmly invited to attend the entire event. </w:t>
      </w:r>
    </w:p>
    <w:p w14:paraId="6DFCB5AD" w14:textId="188CC22C" w:rsidR="005C35F1" w:rsidRPr="00972703" w:rsidRDefault="00E21DC8" w:rsidP="00E21DC8">
      <w:pPr>
        <w:jc w:val="both"/>
      </w:pPr>
      <w:r w:rsidRPr="00972703">
        <w:rPr>
          <w:color w:val="000000"/>
          <w:sz w:val="20"/>
          <w:szCs w:val="20"/>
          <w:lang w:eastAsia="en-US"/>
        </w:rPr>
        <w:t xml:space="preserve">Speakers selected for this workshop can indicate their interest in being considered for the ESIL Young Scholar Prize, if they meet the </w:t>
      </w:r>
      <w:hyperlink r:id="rId8" w:history="1">
        <w:r w:rsidRPr="00972703">
          <w:rPr>
            <w:rStyle w:val="Hyperlink"/>
            <w:sz w:val="20"/>
            <w:szCs w:val="20"/>
            <w:lang w:eastAsia="en-US"/>
          </w:rPr>
          <w:t>eligibility conditions</w:t>
        </w:r>
      </w:hyperlink>
      <w:r w:rsidRPr="00972703">
        <w:rPr>
          <w:color w:val="000000"/>
          <w:sz w:val="20"/>
          <w:szCs w:val="20"/>
          <w:lang w:eastAsia="en-US"/>
        </w:rPr>
        <w:t xml:space="preserve"> as stated on the ESIL website. The </w:t>
      </w:r>
      <w:hyperlink r:id="rId9" w:history="1">
        <w:r w:rsidRPr="00972703">
          <w:rPr>
            <w:rStyle w:val="Hyperlink"/>
            <w:sz w:val="20"/>
            <w:szCs w:val="20"/>
            <w:lang w:eastAsia="en-US"/>
          </w:rPr>
          <w:t>ESIL Secretariat</w:t>
        </w:r>
      </w:hyperlink>
      <w:r w:rsidRPr="00972703">
        <w:rPr>
          <w:color w:val="000000"/>
          <w:sz w:val="20"/>
          <w:szCs w:val="20"/>
          <w:lang w:eastAsia="en-US"/>
        </w:rPr>
        <w:t xml:space="preserve"> must be informed of all selected speakers who wish to be considered for the Prize before 15 May. </w:t>
      </w:r>
    </w:p>
    <w:sectPr w:rsidR="005C35F1" w:rsidRPr="009727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7FA"/>
    <w:multiLevelType w:val="hybridMultilevel"/>
    <w:tmpl w:val="836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16EAE"/>
    <w:multiLevelType w:val="hybridMultilevel"/>
    <w:tmpl w:val="BE82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5B"/>
    <w:rsid w:val="00004B1C"/>
    <w:rsid w:val="00032B09"/>
    <w:rsid w:val="000846F8"/>
    <w:rsid w:val="000D60A7"/>
    <w:rsid w:val="000F3263"/>
    <w:rsid w:val="00107C45"/>
    <w:rsid w:val="00157FCF"/>
    <w:rsid w:val="00163F18"/>
    <w:rsid w:val="003D6724"/>
    <w:rsid w:val="006715F5"/>
    <w:rsid w:val="00673D6A"/>
    <w:rsid w:val="00680EF0"/>
    <w:rsid w:val="007721F3"/>
    <w:rsid w:val="008F136A"/>
    <w:rsid w:val="00972703"/>
    <w:rsid w:val="00A7576D"/>
    <w:rsid w:val="00AA0DBF"/>
    <w:rsid w:val="00B57A20"/>
    <w:rsid w:val="00BC1A38"/>
    <w:rsid w:val="00C53E96"/>
    <w:rsid w:val="00C74D9F"/>
    <w:rsid w:val="00DA335B"/>
    <w:rsid w:val="00E037B9"/>
    <w:rsid w:val="00E21DC8"/>
    <w:rsid w:val="00E344BE"/>
    <w:rsid w:val="00EA17CC"/>
    <w:rsid w:val="00EA474A"/>
    <w:rsid w:val="00F93FCD"/>
    <w:rsid w:val="00FE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C9C0"/>
  <w14:defaultImageDpi w14:val="32767"/>
  <w15:chartTrackingRefBased/>
  <w15:docId w15:val="{CAF5DE70-6D3C-094A-A046-858338F6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335B"/>
    <w:rPr>
      <w:rFonts w:ascii="Calibri" w:hAnsi="Calibri" w:cs="Calibri"/>
      <w:sz w:val="22"/>
      <w:szCs w:val="22"/>
      <w:lang w:eastAsia="en-GB"/>
    </w:rPr>
  </w:style>
  <w:style w:type="paragraph" w:styleId="Heading1">
    <w:name w:val="heading 1"/>
    <w:basedOn w:val="Normal"/>
    <w:next w:val="Normal"/>
    <w:link w:val="Heading1Char"/>
    <w:uiPriority w:val="9"/>
    <w:qFormat/>
    <w:rsid w:val="00C53E96"/>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C53E96"/>
    <w:pPr>
      <w:keepNext/>
      <w:keepLines/>
      <w:spacing w:before="40"/>
      <w:outlineLvl w:val="1"/>
    </w:pPr>
    <w:rPr>
      <w:rFonts w:eastAsiaTheme="majorEastAsia" w:cstheme="majorBidi"/>
      <w:i/>
      <w:sz w:val="26"/>
      <w:szCs w:val="26"/>
    </w:rPr>
  </w:style>
  <w:style w:type="paragraph" w:styleId="Heading3">
    <w:name w:val="heading 3"/>
    <w:basedOn w:val="Normal"/>
    <w:next w:val="Normal"/>
    <w:link w:val="Heading3Char"/>
    <w:autoRedefine/>
    <w:uiPriority w:val="9"/>
    <w:unhideWhenUsed/>
    <w:qFormat/>
    <w:rsid w:val="00A7576D"/>
    <w:pPr>
      <w:keepNext/>
      <w:keepLines/>
      <w:spacing w:before="4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96"/>
    <w:rPr>
      <w:rFonts w:eastAsiaTheme="majorEastAsia" w:cstheme="majorBidi"/>
      <w:b/>
      <w:sz w:val="28"/>
      <w:szCs w:val="32"/>
    </w:rPr>
  </w:style>
  <w:style w:type="character" w:customStyle="1" w:styleId="Heading2Char">
    <w:name w:val="Heading 2 Char"/>
    <w:basedOn w:val="DefaultParagraphFont"/>
    <w:link w:val="Heading2"/>
    <w:uiPriority w:val="9"/>
    <w:rsid w:val="00C53E96"/>
    <w:rPr>
      <w:rFonts w:eastAsiaTheme="majorEastAsia" w:cstheme="majorBidi"/>
      <w:i/>
      <w:sz w:val="26"/>
      <w:szCs w:val="26"/>
    </w:rPr>
  </w:style>
  <w:style w:type="character" w:customStyle="1" w:styleId="Heading3Char">
    <w:name w:val="Heading 3 Char"/>
    <w:basedOn w:val="DefaultParagraphFont"/>
    <w:link w:val="Heading3"/>
    <w:uiPriority w:val="9"/>
    <w:rsid w:val="00A7576D"/>
    <w:rPr>
      <w:rFonts w:asciiTheme="majorHAnsi" w:eastAsiaTheme="majorEastAsia" w:hAnsiTheme="majorHAnsi" w:cstheme="majorBidi"/>
    </w:rPr>
  </w:style>
  <w:style w:type="character" w:styleId="Hyperlink">
    <w:name w:val="Hyperlink"/>
    <w:basedOn w:val="DefaultParagraphFont"/>
    <w:uiPriority w:val="99"/>
    <w:unhideWhenUsed/>
    <w:rsid w:val="00DA335B"/>
    <w:rPr>
      <w:color w:val="0000FF"/>
      <w:u w:val="single"/>
    </w:rPr>
  </w:style>
  <w:style w:type="paragraph" w:customStyle="1" w:styleId="Default">
    <w:name w:val="Default"/>
    <w:rsid w:val="00DA335B"/>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paragraph" w:styleId="NormalWeb">
    <w:name w:val="Normal (Web)"/>
    <w:basedOn w:val="Normal"/>
    <w:uiPriority w:val="99"/>
    <w:semiHidden/>
    <w:unhideWhenUsed/>
    <w:rsid w:val="00DA335B"/>
    <w:pPr>
      <w:spacing w:before="100" w:beforeAutospacing="1" w:after="100" w:afterAutospacing="1"/>
    </w:pPr>
    <w:rPr>
      <w:rFonts w:ascii="Times New Roman" w:eastAsia="Times New Roman" w:hAnsi="Times New Roman" w:cs="Times New Roman"/>
      <w:sz w:val="24"/>
      <w:szCs w:val="24"/>
      <w:lang w:val="en-IE" w:eastAsia="en-US"/>
    </w:rPr>
  </w:style>
  <w:style w:type="paragraph" w:styleId="BalloonText">
    <w:name w:val="Balloon Text"/>
    <w:basedOn w:val="Normal"/>
    <w:link w:val="BalloonTextChar"/>
    <w:uiPriority w:val="99"/>
    <w:semiHidden/>
    <w:unhideWhenUsed/>
    <w:rsid w:val="00E21D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DC8"/>
    <w:rPr>
      <w:rFonts w:ascii="Times New Roman" w:hAnsi="Times New Roman" w:cs="Times New Roman"/>
      <w:sz w:val="18"/>
      <w:szCs w:val="18"/>
      <w:lang w:eastAsia="en-GB"/>
    </w:rPr>
  </w:style>
  <w:style w:type="character" w:styleId="UnresolvedMention">
    <w:name w:val="Unresolved Mention"/>
    <w:basedOn w:val="DefaultParagraphFont"/>
    <w:uiPriority w:val="99"/>
    <w:rsid w:val="00E21DC8"/>
    <w:rPr>
      <w:color w:val="605E5C"/>
      <w:shd w:val="clear" w:color="auto" w:fill="E1DFDD"/>
    </w:rPr>
  </w:style>
  <w:style w:type="paragraph" w:styleId="ListParagraph">
    <w:name w:val="List Paragraph"/>
    <w:basedOn w:val="Normal"/>
    <w:uiPriority w:val="34"/>
    <w:qFormat/>
    <w:rsid w:val="0010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l-sedi.eu/esil-ysp/" TargetMode="External"/><Relationship Id="rId3" Type="http://schemas.openxmlformats.org/officeDocument/2006/relationships/settings" Target="settings.xml"/><Relationship Id="rId7" Type="http://schemas.openxmlformats.org/officeDocument/2006/relationships/hyperlink" Target="https://esil-sedi.eu/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terina.yahyaoui@nuigalway.i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il.secretariat@eu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2787</Characters>
  <Application>Microsoft Office Word</Application>
  <DocSecurity>0</DocSecurity>
  <Lines>41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Yahyaoui, Ekaterina</dc:creator>
  <cp:keywords/>
  <dc:description/>
  <cp:lastModifiedBy>Yahyaoui, Ekaterina</cp:lastModifiedBy>
  <cp:revision>2</cp:revision>
  <dcterms:created xsi:type="dcterms:W3CDTF">2020-04-07T15:59:00Z</dcterms:created>
  <dcterms:modified xsi:type="dcterms:W3CDTF">2020-04-07T15:59:00Z</dcterms:modified>
</cp:coreProperties>
</file>