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E8" w:rsidRPr="00914946" w:rsidRDefault="002928E8" w:rsidP="00721F50">
      <w:pPr>
        <w:pStyle w:val="StandardWeb"/>
        <w:jc w:val="both"/>
        <w:rPr>
          <w:rFonts w:ascii="Garamond" w:hAnsi="Garamond" w:cs="Times"/>
          <w:color w:val="000000" w:themeColor="text1"/>
          <w:lang w:val="en-US"/>
        </w:rPr>
      </w:pPr>
      <w:bookmarkStart w:id="0" w:name="_GoBack"/>
      <w:r w:rsidRPr="00914946">
        <w:rPr>
          <w:rFonts w:ascii="Garamond" w:hAnsi="Garamond" w:cs="Times"/>
          <w:color w:val="000000" w:themeColor="text1"/>
          <w:sz w:val="32"/>
          <w:szCs w:val="32"/>
          <w:lang w:val="en-US"/>
        </w:rPr>
        <w:t xml:space="preserve">ESIL </w:t>
      </w:r>
      <w:r w:rsidR="00914946">
        <w:rPr>
          <w:rFonts w:ascii="Garamond" w:hAnsi="Garamond" w:cs="Times"/>
          <w:color w:val="000000" w:themeColor="text1"/>
          <w:sz w:val="32"/>
          <w:szCs w:val="32"/>
          <w:lang w:val="en-US"/>
        </w:rPr>
        <w:t>IG</w:t>
      </w:r>
      <w:r w:rsidRPr="00914946">
        <w:rPr>
          <w:rFonts w:ascii="Garamond" w:hAnsi="Garamond" w:cs="Times"/>
          <w:color w:val="000000" w:themeColor="text1"/>
          <w:sz w:val="32"/>
          <w:szCs w:val="32"/>
          <w:lang w:val="en-US"/>
        </w:rPr>
        <w:t xml:space="preserve"> on International Human Rights Law Annual Report</w:t>
      </w:r>
      <w:r w:rsidR="00914946" w:rsidRPr="00914946">
        <w:rPr>
          <w:rFonts w:ascii="Garamond" w:hAnsi="Garamond" w:cs="Times"/>
          <w:color w:val="000000" w:themeColor="text1"/>
          <w:sz w:val="32"/>
          <w:szCs w:val="32"/>
          <w:lang w:val="en-US"/>
        </w:rPr>
        <w:t xml:space="preserve"> </w:t>
      </w:r>
      <w:r w:rsidRPr="00914946">
        <w:rPr>
          <w:rFonts w:ascii="Garamond" w:hAnsi="Garamond" w:cs="Times"/>
          <w:color w:val="000000" w:themeColor="text1"/>
          <w:sz w:val="32"/>
          <w:szCs w:val="32"/>
          <w:lang w:val="en-US"/>
        </w:rPr>
        <w:t>201</w:t>
      </w:r>
      <w:r w:rsidRPr="00914946">
        <w:rPr>
          <w:rFonts w:ascii="Garamond" w:hAnsi="Garamond" w:cs="Times"/>
          <w:color w:val="000000" w:themeColor="text1"/>
          <w:sz w:val="32"/>
          <w:szCs w:val="32"/>
          <w:lang w:val="en-US"/>
        </w:rPr>
        <w:t>9</w:t>
      </w:r>
      <w:r w:rsidRPr="00914946">
        <w:rPr>
          <w:rFonts w:ascii="Garamond" w:hAnsi="Garamond" w:cs="Times"/>
          <w:color w:val="000000" w:themeColor="text1"/>
          <w:sz w:val="32"/>
          <w:szCs w:val="32"/>
          <w:lang w:val="en-US"/>
        </w:rPr>
        <w:t xml:space="preserve"> </w:t>
      </w:r>
    </w:p>
    <w:p w:rsidR="00914946" w:rsidRDefault="00914946" w:rsidP="00721F50">
      <w:pPr>
        <w:pStyle w:val="StandardWeb"/>
        <w:spacing w:after="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proofErr w:type="gram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1. )</w:t>
      </w:r>
      <w:proofErr w:type="gram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Until fall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2019,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Valentina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Azarova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, Emma Irving, and Pierre Thielb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ö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rger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served as co-conveners of the IG on International Human Rights Law. </w:t>
      </w:r>
    </w:p>
    <w:p w:rsidR="002928E8" w:rsidRPr="00914946" w:rsidRDefault="00914946" w:rsidP="00721F50">
      <w:pPr>
        <w:pStyle w:val="StandardWeb"/>
        <w:spacing w:after="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2.)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In the framework of ESIL’s Annual Conference 2019 in Athens, the IG held a pre-conference IG event consisting of two panels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on 11 September 2019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. IG members had been invited via a call for papers to submit abstracts of which the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three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conveners chose six pieces for the event.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The over-arching theme of the event was: “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International Human Rights Law Beyond Traditional Sovereign Spaces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”.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The panels were as followed:</w:t>
      </w:r>
    </w:p>
    <w:p w:rsidR="002928E8" w:rsidRPr="00914946" w:rsidRDefault="002928E8" w:rsidP="00721F50">
      <w:pPr>
        <w:pStyle w:val="StandardWeb"/>
        <w:spacing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u w:val="single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u w:val="single"/>
          <w:lang w:val="en-US"/>
        </w:rPr>
        <w:t>Panel 1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u w:val="single"/>
          <w:lang w:val="en-US"/>
        </w:rPr>
        <w:t xml:space="preserve">: New Jurisdictional Spaces </w:t>
      </w:r>
    </w:p>
    <w:p w:rsidR="002928E8" w:rsidRPr="00914946" w:rsidRDefault="00914946" w:rsidP="00721F50">
      <w:pPr>
        <w:pStyle w:val="StandardWeb"/>
        <w:spacing w:before="0" w:beforeAutospacing="0"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a)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The Human Rights Jurisdiction of </w:t>
      </w:r>
      <w:proofErr w:type="gram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Non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State</w:t>
      </w:r>
      <w:proofErr w:type="gram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Actors: The Holy See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(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William Thomas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Worster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,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The Hague University of Applied Sciences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)</w:t>
      </w:r>
    </w:p>
    <w:p w:rsidR="002928E8" w:rsidRPr="00914946" w:rsidRDefault="00914946" w:rsidP="00721F50">
      <w:pPr>
        <w:pStyle w:val="StandardWeb"/>
        <w:spacing w:before="0" w:beforeAutospacing="0"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b)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Implications of the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IACtHR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Advisory Opinion for Public Participation in Environmental Decision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Making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(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Patrick Toussaint (PhD Candidate, University of Eastern Finland), Azucena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Morán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(Research Associate, Institute for Advanced Sustainability Studies Potsdam), and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Adrián Martínez Blanco (Fellow, Institute for Advanced Sustainability Studies Potsdam)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)</w:t>
      </w:r>
    </w:p>
    <w:p w:rsidR="002928E8" w:rsidRPr="00914946" w:rsidRDefault="00914946" w:rsidP="00721F50">
      <w:pPr>
        <w:pStyle w:val="StandardWeb"/>
        <w:spacing w:before="0" w:beforeAutospacing="0"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c)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Human Rights in Transboundary Contexts: Is an ‘Effects Jurisdiction’ Doctrine Emerging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in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International Human Rights Law?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(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Alice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Ollino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PostDoctoral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Research Fellow, University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of Milano-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Bicocca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. (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Ms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Ollino’s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paper received during the ESIL Annual conference the 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ESIL Young Scholar Prize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.)</w:t>
      </w:r>
    </w:p>
    <w:p w:rsidR="002928E8" w:rsidRPr="00914946" w:rsidRDefault="002928E8" w:rsidP="00721F50">
      <w:pPr>
        <w:pStyle w:val="StandardWeb"/>
        <w:spacing w:before="0" w:beforeAutospacing="0"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Panel 2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: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New Jurisdictional Spaces in Cyberspace</w:t>
      </w:r>
    </w:p>
    <w:p w:rsidR="002928E8" w:rsidRPr="00914946" w:rsidRDefault="002928E8" w:rsidP="00721F50">
      <w:pPr>
        <w:pStyle w:val="StandardWeb"/>
        <w:spacing w:before="0" w:beforeAutospacing="0"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a)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The Impact of Internet Intermediaries on Human Rights Online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(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Ana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Gascón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Marchen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, Lecturer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of Public International Law, University of Zaragoza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)</w:t>
      </w:r>
    </w:p>
    <w:p w:rsidR="002928E8" w:rsidRPr="00914946" w:rsidRDefault="002928E8" w:rsidP="00721F50">
      <w:pPr>
        <w:pStyle w:val="StandardWeb"/>
        <w:spacing w:before="0" w:beforeAutospacing="0"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b)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Multinational Corporations and the Rule of Law in Cyberspac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e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(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Stephan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Kolo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ß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a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, Research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Associate, Ruhr University Bochum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)</w:t>
      </w:r>
    </w:p>
    <w:p w:rsidR="002928E8" w:rsidRPr="00914946" w:rsidRDefault="002928E8" w:rsidP="00721F50">
      <w:pPr>
        <w:pStyle w:val="StandardWeb"/>
        <w:spacing w:before="0" w:beforeAutospacing="0" w:after="120" w:afterAutospacing="0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c)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How Far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Can the Internet Forget? A Balancing Test of Conflicting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Human Rights in Cyberspace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Giorgia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Bevilacqua, Researcher at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Università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degli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Studi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della</w:t>
      </w:r>
      <w:proofErr w:type="spellEnd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Campania Luigi </w:t>
      </w:r>
      <w:proofErr w:type="spellStart"/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Vanvi</w:t>
      </w:r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telli</w:t>
      </w:r>
      <w:proofErr w:type="spellEnd"/>
      <w:r w:rsidR="00914946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)</w:t>
      </w:r>
    </w:p>
    <w:p w:rsidR="00914946" w:rsidRPr="00914946" w:rsidRDefault="00914946" w:rsidP="00721F50">
      <w:pPr>
        <w:pStyle w:val="StandardWeb"/>
        <w:jc w:val="both"/>
        <w:rPr>
          <w:rFonts w:ascii="Garamond" w:hAnsi="Garamond" w:cs="Times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Both panels were moderated by Pierre Thielbörger.</w:t>
      </w:r>
    </w:p>
    <w:p w:rsidR="002928E8" w:rsidRPr="00914946" w:rsidRDefault="00914946" w:rsidP="00721F50">
      <w:pPr>
        <w:pStyle w:val="StandardWeb"/>
        <w:jc w:val="both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3.)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IG elections were held in October 2019</w:t>
      </w:r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 xml:space="preserve"> with Abdullah </w:t>
      </w:r>
      <w:proofErr w:type="spellStart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Faizee</w:t>
      </w:r>
      <w:proofErr w:type="spellEnd"/>
      <w:r w:rsidR="002928E8" w:rsidRPr="00914946">
        <w:rPr>
          <w:rFonts w:ascii="Garamond" w:hAnsi="Garamond" w:cs="Times"/>
          <w:color w:val="000000" w:themeColor="text1"/>
          <w:sz w:val="22"/>
          <w:szCs w:val="22"/>
          <w:lang w:val="en-US"/>
        </w:rPr>
        <w:t>, Alejandro Fuentes and Pierre Thielbörger being</w:t>
      </w:r>
      <w:r w:rsidR="002928E8" w:rsidRPr="00914946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elected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as new conveners</w:t>
      </w:r>
      <w:r w:rsidR="002928E8" w:rsidRPr="00914946">
        <w:rPr>
          <w:rFonts w:ascii="Garamond" w:hAnsi="Garamond"/>
          <w:color w:val="000000" w:themeColor="text1"/>
          <w:sz w:val="22"/>
          <w:szCs w:val="22"/>
          <w:lang w:val="en-US"/>
        </w:rPr>
        <w:t>.</w:t>
      </w:r>
    </w:p>
    <w:p w:rsidR="00914946" w:rsidRPr="00914946" w:rsidRDefault="00914946" w:rsidP="00721F50">
      <w:pPr>
        <w:pStyle w:val="StandardWeb"/>
        <w:spacing w:before="0" w:beforeAutospacing="0" w:after="150" w:afterAutospacing="0"/>
        <w:jc w:val="both"/>
        <w:rPr>
          <w:rFonts w:ascii="Garamond" w:hAnsi="Garamond" w:cs="Arial"/>
          <w:color w:val="000000" w:themeColor="text1"/>
          <w:sz w:val="21"/>
          <w:szCs w:val="21"/>
          <w:lang w:val="en-US"/>
        </w:rPr>
      </w:pPr>
      <w:r w:rsidRPr="00914946">
        <w:rPr>
          <w:rFonts w:ascii="Garamond" w:hAnsi="Garamond"/>
          <w:color w:val="000000" w:themeColor="text1"/>
          <w:sz w:val="22"/>
          <w:szCs w:val="22"/>
          <w:lang w:val="en-US"/>
        </w:rPr>
        <w:t>4.) The IG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>,</w:t>
      </w:r>
      <w:r w:rsidRPr="00914946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together with t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he Institute for International Law of Peace and Armed Conflict (IFHV) at Ruhr University Bochum</w:t>
      </w:r>
      <w:r>
        <w:rPr>
          <w:rFonts w:ascii="Garamond" w:hAnsi="Garamond" w:cs="Arial"/>
          <w:color w:val="000000" w:themeColor="text1"/>
          <w:sz w:val="21"/>
          <w:szCs w:val="21"/>
          <w:lang w:val="en-US"/>
        </w:rPr>
        <w:t>,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held a 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high-level conference on</w:t>
      </w:r>
      <w:r w:rsidRPr="00914946">
        <w:rPr>
          <w:rStyle w:val="apple-converted-space"/>
          <w:rFonts w:ascii="Garamond" w:hAnsi="Garamond" w:cs="Arial"/>
          <w:color w:val="000000" w:themeColor="text1"/>
          <w:sz w:val="21"/>
          <w:szCs w:val="21"/>
          <w:lang w:val="en-US"/>
        </w:rPr>
        <w:t> </w:t>
      </w:r>
      <w:r w:rsidRPr="00914946">
        <w:rPr>
          <w:rStyle w:val="Hervorhebung"/>
          <w:rFonts w:ascii="Garamond" w:hAnsi="Garamond" w:cs="Arial"/>
          <w:color w:val="000000" w:themeColor="text1"/>
          <w:sz w:val="21"/>
          <w:szCs w:val="21"/>
          <w:lang w:val="en-US"/>
        </w:rPr>
        <w:t>Regional Human Rights Systems from a Comparative Perspective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, taking place in</w:t>
      </w:r>
      <w:r w:rsidRPr="00914946">
        <w:rPr>
          <w:rStyle w:val="apple-converted-space"/>
          <w:rFonts w:ascii="Garamond" w:hAnsi="Garamond" w:cs="Arial"/>
          <w:color w:val="000000" w:themeColor="text1"/>
          <w:sz w:val="21"/>
          <w:szCs w:val="21"/>
          <w:lang w:val="en-US"/>
        </w:rPr>
        <w:t> </w:t>
      </w:r>
      <w:r w:rsidRPr="00914946">
        <w:rPr>
          <w:rStyle w:val="Fett"/>
          <w:rFonts w:ascii="Garamond" w:hAnsi="Garamond" w:cs="Arial"/>
          <w:b w:val="0"/>
          <w:bCs w:val="0"/>
          <w:color w:val="000000" w:themeColor="text1"/>
          <w:sz w:val="21"/>
          <w:szCs w:val="21"/>
          <w:lang w:val="en-US"/>
        </w:rPr>
        <w:t>Florence</w:t>
      </w:r>
      <w:r w:rsidRPr="00914946">
        <w:rPr>
          <w:rStyle w:val="apple-converted-space"/>
          <w:rFonts w:ascii="Garamond" w:hAnsi="Garamond" w:cs="Arial"/>
          <w:b/>
          <w:bCs/>
          <w:color w:val="000000" w:themeColor="text1"/>
          <w:sz w:val="21"/>
          <w:szCs w:val="21"/>
          <w:lang w:val="en-US"/>
        </w:rPr>
        <w:t> 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at the European University Institute on</w:t>
      </w:r>
      <w:r w:rsidRPr="00914946">
        <w:rPr>
          <w:rStyle w:val="apple-converted-space"/>
          <w:rFonts w:ascii="Garamond" w:hAnsi="Garamond" w:cs="Arial"/>
          <w:b/>
          <w:bCs/>
          <w:color w:val="000000" w:themeColor="text1"/>
          <w:sz w:val="21"/>
          <w:szCs w:val="21"/>
          <w:lang w:val="en-US"/>
        </w:rPr>
        <w:t> </w:t>
      </w:r>
      <w:r w:rsidRPr="00914946">
        <w:rPr>
          <w:rStyle w:val="Fett"/>
          <w:rFonts w:ascii="Garamond" w:hAnsi="Garamond" w:cs="Arial"/>
          <w:b w:val="0"/>
          <w:bCs w:val="0"/>
          <w:color w:val="000000" w:themeColor="text1"/>
          <w:sz w:val="21"/>
          <w:szCs w:val="21"/>
          <w:lang w:val="en-US"/>
        </w:rPr>
        <w:t>12-13 December 2019</w:t>
      </w:r>
      <w:r w:rsidRPr="00914946">
        <w:rPr>
          <w:rFonts w:ascii="Garamond" w:hAnsi="Garamond" w:cs="Arial"/>
          <w:b/>
          <w:bCs/>
          <w:color w:val="000000" w:themeColor="text1"/>
          <w:sz w:val="21"/>
          <w:szCs w:val="21"/>
          <w:lang w:val="en-US"/>
        </w:rPr>
        <w:t>.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The conference 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was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supported by the European Society of International Law (ESIL) and the Arab-German Young Academy of Sciences and Humanity (AGYA).</w:t>
      </w:r>
    </w:p>
    <w:p w:rsidR="00914946" w:rsidRPr="00721F50" w:rsidRDefault="00914946" w:rsidP="00721F50">
      <w:pPr>
        <w:pStyle w:val="StandardWeb"/>
        <w:spacing w:before="0" w:beforeAutospacing="0" w:after="150" w:afterAutospacing="0"/>
        <w:jc w:val="both"/>
        <w:rPr>
          <w:rFonts w:ascii="Garamond" w:hAnsi="Garamond" w:cs="Arial"/>
          <w:color w:val="000000" w:themeColor="text1"/>
          <w:sz w:val="21"/>
          <w:szCs w:val="21"/>
          <w:lang w:val="en-US"/>
        </w:rPr>
      </w:pP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The conference 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brought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together international human rights experts – both academics and practitioners – in order to identify the strengths and weaknesses of regional human rights systems, the challenges they are currently facing, and the best ways forward. The European, Inter-American, African and Arab human rights mechanisms will be each considered and discussed in five thematic panels. The panels concern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ed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different issues in focus, including the universality of human rights and the heterogeneity of political systems; new rights and new concepts in regional human rights jurisprudence; the threat that populism poses to these systems; the protection of vulnerable groups (including forced migrants and LGBT-people); as well as the role that businesses and financial institutions play in regional human rights systems.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Speakers included Christian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Tomuschat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Martin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Scheinin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Mervat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Rishmavi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Neha Jain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Andreas von Arnauld, Pierre Thielbörger, Alice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Ollino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Urska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Sadl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Mark Dawson, Tim Eicke, Sabrina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Ragone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Ulrich Petersmann, Frans Viljoen, Lys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Kulamadayil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Hans-Joachim Heintze,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Tamirace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Fakhoury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Joanne Scott, Michael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Riegner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Eleni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Frantziou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, David Kinley and Margot </w:t>
      </w:r>
      <w:proofErr w:type="spellStart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Salamon</w:t>
      </w:r>
      <w:proofErr w:type="spellEnd"/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. The conference was organized and moderated by Pierre Thielbörger. 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 xml:space="preserve">More information 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can be found here:</w:t>
      </w:r>
      <w:r w:rsidRPr="00914946">
        <w:rPr>
          <w:rStyle w:val="apple-converted-space"/>
          <w:rFonts w:ascii="Garamond" w:hAnsi="Garamond" w:cs="Arial"/>
          <w:color w:val="000000" w:themeColor="text1"/>
          <w:sz w:val="21"/>
          <w:szCs w:val="21"/>
          <w:lang w:val="en-US"/>
        </w:rPr>
        <w:t> </w:t>
      </w:r>
      <w:hyperlink r:id="rId4" w:history="1">
        <w:r w:rsidRPr="00914946">
          <w:rPr>
            <w:rStyle w:val="Hyperlink"/>
            <w:rFonts w:ascii="Garamond" w:hAnsi="Garamond" w:cs="Arial"/>
            <w:color w:val="000000" w:themeColor="text1"/>
            <w:sz w:val="21"/>
            <w:szCs w:val="21"/>
            <w:lang w:val="en-US"/>
          </w:rPr>
          <w:t>FLYER</w:t>
        </w:r>
      </w:hyperlink>
      <w:r w:rsidRPr="00914946">
        <w:rPr>
          <w:rStyle w:val="apple-converted-space"/>
          <w:rFonts w:ascii="Garamond" w:hAnsi="Garamond" w:cs="Arial"/>
          <w:color w:val="000000" w:themeColor="text1"/>
          <w:sz w:val="21"/>
          <w:szCs w:val="21"/>
          <w:lang w:val="en-US"/>
        </w:rPr>
        <w:t> </w:t>
      </w:r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and</w:t>
      </w:r>
      <w:r w:rsidRPr="00914946">
        <w:rPr>
          <w:rStyle w:val="apple-converted-space"/>
          <w:rFonts w:ascii="Garamond" w:hAnsi="Garamond" w:cs="Arial"/>
          <w:color w:val="000000" w:themeColor="text1"/>
          <w:sz w:val="21"/>
          <w:szCs w:val="21"/>
          <w:lang w:val="en-US"/>
        </w:rPr>
        <w:t> </w:t>
      </w:r>
      <w:hyperlink r:id="rId5" w:history="1">
        <w:r w:rsidRPr="00914946">
          <w:rPr>
            <w:rStyle w:val="Hyperlink"/>
            <w:rFonts w:ascii="Garamond" w:hAnsi="Garamond" w:cs="Arial"/>
            <w:color w:val="000000" w:themeColor="text1"/>
            <w:sz w:val="21"/>
            <w:szCs w:val="21"/>
            <w:lang w:val="en-US"/>
          </w:rPr>
          <w:t>PROGRA</w:t>
        </w:r>
        <w:r w:rsidRPr="00914946">
          <w:rPr>
            <w:rStyle w:val="Hyperlink"/>
            <w:rFonts w:ascii="Garamond" w:hAnsi="Garamond" w:cs="Arial"/>
            <w:color w:val="000000" w:themeColor="text1"/>
            <w:sz w:val="21"/>
            <w:szCs w:val="21"/>
            <w:lang w:val="en-US"/>
          </w:rPr>
          <w:t>M</w:t>
        </w:r>
        <w:r w:rsidRPr="00914946">
          <w:rPr>
            <w:rStyle w:val="Hyperlink"/>
            <w:rFonts w:ascii="Garamond" w:hAnsi="Garamond" w:cs="Arial"/>
            <w:color w:val="000000" w:themeColor="text1"/>
            <w:sz w:val="21"/>
            <w:szCs w:val="21"/>
            <w:lang w:val="en-US"/>
          </w:rPr>
          <w:t>ME</w:t>
        </w:r>
      </w:hyperlink>
      <w:r w:rsidRPr="00914946">
        <w:rPr>
          <w:rFonts w:ascii="Garamond" w:hAnsi="Garamond" w:cs="Arial"/>
          <w:color w:val="000000" w:themeColor="text1"/>
          <w:sz w:val="21"/>
          <w:szCs w:val="21"/>
          <w:lang w:val="en-US"/>
        </w:rPr>
        <w:t>.</w:t>
      </w:r>
    </w:p>
    <w:bookmarkEnd w:id="0"/>
    <w:p w:rsidR="002928E8" w:rsidRPr="00914946" w:rsidRDefault="002928E8">
      <w:pPr>
        <w:rPr>
          <w:color w:val="000000" w:themeColor="text1"/>
          <w:lang w:val="en-US"/>
        </w:rPr>
      </w:pPr>
    </w:p>
    <w:sectPr w:rsidR="002928E8" w:rsidRPr="00914946" w:rsidSect="00C53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E8"/>
    <w:rsid w:val="002928E8"/>
    <w:rsid w:val="0056020A"/>
    <w:rsid w:val="006D350F"/>
    <w:rsid w:val="00721F50"/>
    <w:rsid w:val="00914946"/>
    <w:rsid w:val="00C53DFA"/>
    <w:rsid w:val="00E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787C3"/>
  <w14:defaultImageDpi w14:val="32767"/>
  <w15:chartTrackingRefBased/>
  <w15:docId w15:val="{4DA90AB9-1464-424F-8455-6EEF0B9C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92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914946"/>
  </w:style>
  <w:style w:type="character" w:styleId="Hervorhebung">
    <w:name w:val="Emphasis"/>
    <w:basedOn w:val="Absatz-Standardschriftart"/>
    <w:uiPriority w:val="20"/>
    <w:qFormat/>
    <w:rsid w:val="00914946"/>
    <w:rPr>
      <w:i/>
      <w:iCs/>
    </w:rPr>
  </w:style>
  <w:style w:type="character" w:styleId="Fett">
    <w:name w:val="Strong"/>
    <w:basedOn w:val="Absatz-Standardschriftart"/>
    <w:uiPriority w:val="22"/>
    <w:qFormat/>
    <w:rsid w:val="009149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1494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14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l-sedi.eu/wp-content/uploads/2019/10/V.-2-Draft-Programme-PT-October-aktuell-alle-logos-with-titles-updated_PT.pdf" TargetMode="External"/><Relationship Id="rId4" Type="http://schemas.openxmlformats.org/officeDocument/2006/relationships/hyperlink" Target="https://esil-sedi.eu/wp-content/uploads/2019/10/FLYER-ESILConferenceThielboergerRegionalHumanRightsEUI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2021-03-09T15:38:00Z</dcterms:created>
  <dcterms:modified xsi:type="dcterms:W3CDTF">2021-03-09T16:09:00Z</dcterms:modified>
</cp:coreProperties>
</file>