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66232" w14:textId="7395A2B3" w:rsidR="00A03FE8" w:rsidRPr="00FF0691" w:rsidRDefault="003653C9" w:rsidP="002257BE">
      <w:pPr>
        <w:pStyle w:val="Heading1"/>
        <w:spacing w:afterLines="40" w:after="96"/>
        <w:jc w:val="center"/>
        <w:rPr>
          <w:rFonts w:ascii="Garamond" w:hAnsi="Garamond"/>
          <w:lang w:val="en-US"/>
        </w:rPr>
      </w:pPr>
      <w:r w:rsidRPr="00FF0691">
        <w:rPr>
          <w:rFonts w:ascii="Garamond" w:hAnsi="Garamond"/>
          <w:noProof/>
        </w:rPr>
        <w:drawing>
          <wp:inline distT="0" distB="0" distL="0" distR="0" wp14:anchorId="1E46F7A3" wp14:editId="0362E2BF">
            <wp:extent cx="3122930" cy="1662116"/>
            <wp:effectExtent l="0" t="0" r="127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3706" cy="16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BDD53B" w14:textId="77777777" w:rsidR="00B1038B" w:rsidRDefault="00B1038B" w:rsidP="002257BE">
      <w:pPr>
        <w:pStyle w:val="Heading1"/>
        <w:spacing w:afterLines="40" w:after="96"/>
        <w:jc w:val="center"/>
        <w:rPr>
          <w:rFonts w:ascii="Garamond" w:hAnsi="Garamond"/>
          <w:lang w:val="en-US"/>
        </w:rPr>
      </w:pPr>
    </w:p>
    <w:p w14:paraId="691B6610" w14:textId="4EC44A23" w:rsidR="00A03FE8" w:rsidRPr="002257BE" w:rsidRDefault="00A03FE8" w:rsidP="002257BE">
      <w:pPr>
        <w:pStyle w:val="Heading1"/>
        <w:spacing w:afterLines="40" w:after="96"/>
        <w:jc w:val="center"/>
        <w:rPr>
          <w:rFonts w:ascii="Garamond" w:hAnsi="Garamond"/>
          <w:lang w:val="en-US"/>
        </w:rPr>
      </w:pPr>
      <w:r w:rsidRPr="002257BE">
        <w:rPr>
          <w:rFonts w:ascii="Garamond" w:hAnsi="Garamond"/>
          <w:lang w:val="en-US"/>
        </w:rPr>
        <w:t xml:space="preserve">Call for Papers </w:t>
      </w:r>
    </w:p>
    <w:p w14:paraId="0D71E6C4" w14:textId="2E854D48" w:rsidR="00A03FE8" w:rsidRPr="002257BE" w:rsidRDefault="008108EF" w:rsidP="002257BE">
      <w:pPr>
        <w:pStyle w:val="Heading1"/>
        <w:spacing w:afterLines="40" w:after="96"/>
        <w:jc w:val="center"/>
        <w:rPr>
          <w:rFonts w:ascii="Garamond" w:hAnsi="Garamond"/>
        </w:rPr>
      </w:pPr>
      <w:r>
        <w:rPr>
          <w:rFonts w:ascii="Garamond" w:hAnsi="Garamond"/>
          <w:lang w:val="en-US"/>
        </w:rPr>
        <w:t>Public Interest Litigation</w:t>
      </w:r>
      <w:r w:rsidR="008473EB">
        <w:rPr>
          <w:rFonts w:ascii="Garamond" w:hAnsi="Garamond"/>
          <w:lang w:val="en-US"/>
        </w:rPr>
        <w:t xml:space="preserve">:  </w:t>
      </w:r>
      <w:r w:rsidR="00192ABB">
        <w:rPr>
          <w:rFonts w:ascii="Garamond" w:hAnsi="Garamond"/>
          <w:lang w:val="en-US"/>
        </w:rPr>
        <w:t xml:space="preserve">The </w:t>
      </w:r>
      <w:r w:rsidR="008473EB">
        <w:rPr>
          <w:rFonts w:ascii="Garamond" w:hAnsi="Garamond"/>
          <w:lang w:val="en-US"/>
        </w:rPr>
        <w:t xml:space="preserve">role </w:t>
      </w:r>
      <w:r w:rsidR="00192ABB">
        <w:rPr>
          <w:rFonts w:ascii="Garamond" w:hAnsi="Garamond"/>
          <w:lang w:val="en-US"/>
        </w:rPr>
        <w:t>of</w:t>
      </w:r>
      <w:r w:rsidR="008473EB">
        <w:rPr>
          <w:rFonts w:ascii="Garamond" w:hAnsi="Garamond"/>
          <w:lang w:val="en-US"/>
        </w:rPr>
        <w:t xml:space="preserve"> International Courts and Tribunals?</w:t>
      </w:r>
    </w:p>
    <w:p w14:paraId="0927D222" w14:textId="4AF29FEB" w:rsidR="003653C9" w:rsidRPr="002257BE" w:rsidRDefault="00D84EE8" w:rsidP="002257BE">
      <w:pPr>
        <w:pStyle w:val="Heading1"/>
        <w:spacing w:afterLines="40" w:after="96"/>
        <w:jc w:val="center"/>
        <w:rPr>
          <w:rFonts w:ascii="Garamond" w:hAnsi="Garamond"/>
        </w:rPr>
      </w:pPr>
      <w:r>
        <w:rPr>
          <w:rFonts w:ascii="Garamond" w:hAnsi="Garamond"/>
        </w:rPr>
        <w:t>8</w:t>
      </w:r>
      <w:r w:rsidR="008108EF">
        <w:rPr>
          <w:rFonts w:ascii="Garamond" w:hAnsi="Garamond"/>
        </w:rPr>
        <w:t xml:space="preserve"> September</w:t>
      </w:r>
      <w:r w:rsidR="003653C9" w:rsidRPr="002257BE">
        <w:rPr>
          <w:rFonts w:ascii="Garamond" w:hAnsi="Garamond"/>
        </w:rPr>
        <w:t xml:space="preserve"> 2021 </w:t>
      </w:r>
    </w:p>
    <w:p w14:paraId="631C6CFD" w14:textId="77777777" w:rsidR="008108EF" w:rsidRDefault="008108EF" w:rsidP="002257BE">
      <w:p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00"/>
          <w:sz w:val="24"/>
          <w:szCs w:val="24"/>
          <w:lang w:val="en-GB"/>
        </w:rPr>
      </w:pPr>
    </w:p>
    <w:p w14:paraId="1EF3CF30" w14:textId="58EDCF43" w:rsidR="001B6BF2" w:rsidRDefault="00BD236C" w:rsidP="001F7492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Public interest litigation represents a way for issues of broad public concern</w:t>
      </w:r>
      <w:r w:rsidR="002959EF">
        <w:rPr>
          <w:rFonts w:ascii="Garamond" w:hAnsi="Garamond" w:cs="Times New Roman"/>
          <w:color w:val="000000"/>
          <w:sz w:val="24"/>
          <w:szCs w:val="24"/>
          <w:lang w:val="en-GB"/>
        </w:rPr>
        <w:t>—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>such as genocide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>, torture,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nuclear disarmament 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>and climate change</w:t>
      </w:r>
      <w:r w:rsidR="002959EF">
        <w:rPr>
          <w:rFonts w:ascii="Garamond" w:hAnsi="Garamond" w:cs="Times New Roman"/>
          <w:color w:val="000000"/>
          <w:sz w:val="24"/>
          <w:szCs w:val="24"/>
          <w:lang w:val="en-GB"/>
        </w:rPr>
        <w:t>—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>to be the subject of adjudication before international courts and tribunals. Applicants who are not necessarily directly affected by the conduct at issue may nevertheless pursue litigation on behalf of the victims</w:t>
      </w:r>
      <w:r w:rsidR="00192ABB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or injured state(s)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>,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>as well as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the larger international community.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he victims themselves may be 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>a very broad group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or difficult to identify with precision. Historically speaking, international courts and tribunals have not </w:t>
      </w:r>
      <w:r w:rsidR="00192ABB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necessarily 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been the fora of choice for actors seeking to litigate matters of broad public interest. 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>In recent years, c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>limate change litigation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has 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>played out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in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>domestic rather than international courts.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Yet, </w:t>
      </w:r>
      <w:r w:rsidR="00E93267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in 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>January 2020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>,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t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he International Court of Justice </w:t>
      </w:r>
      <w:r w:rsidR="00D133B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(ICJ) 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confirmed 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>the admissibility of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a </w:t>
      </w:r>
      <w:r w:rsidR="00CA0AD6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contentious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case </w:t>
      </w:r>
      <w:r w:rsidR="00CA0AD6">
        <w:rPr>
          <w:rFonts w:ascii="Garamond" w:hAnsi="Garamond" w:cs="Times New Roman"/>
          <w:color w:val="000000"/>
          <w:sz w:val="24"/>
          <w:szCs w:val="24"/>
          <w:lang w:val="en-GB"/>
        </w:rPr>
        <w:t>with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a </w:t>
      </w:r>
      <w:r w:rsidR="007706B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clear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>public interest character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(</w:t>
      </w:r>
      <w:r w:rsidR="00513829" w:rsidRPr="00D133BC">
        <w:rPr>
          <w:rFonts w:ascii="Garamond" w:hAnsi="Garamond" w:cs="Times New Roman"/>
          <w:i/>
          <w:iCs/>
          <w:color w:val="000000"/>
          <w:sz w:val="24"/>
          <w:szCs w:val="24"/>
          <w:lang w:val="en-GB"/>
        </w:rPr>
        <w:t>Application of the Convention on the Prevention and Punishment of the Crime of Genocide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(</w:t>
      </w:r>
      <w:r w:rsidR="00513829" w:rsidRPr="00D133BC">
        <w:rPr>
          <w:rFonts w:ascii="Garamond" w:hAnsi="Garamond" w:cs="Times New Roman"/>
          <w:i/>
          <w:iCs/>
          <w:color w:val="000000"/>
          <w:sz w:val="24"/>
          <w:szCs w:val="24"/>
          <w:lang w:val="en-GB"/>
        </w:rPr>
        <w:t>The Gambia v Myanmar</w:t>
      </w:r>
      <w:r w:rsidR="00513829">
        <w:rPr>
          <w:rFonts w:ascii="Garamond" w:hAnsi="Garamond" w:cs="Times New Roman"/>
          <w:i/>
          <w:iCs/>
          <w:color w:val="000000"/>
          <w:sz w:val="24"/>
          <w:szCs w:val="24"/>
          <w:lang w:val="en-GB"/>
        </w:rPr>
        <w:t>)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>)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>.</w:t>
      </w:r>
      <w:r w:rsidR="001F749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Court’s historical resistance to 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>hear</w:t>
      </w:r>
      <w:r w:rsidR="00536305">
        <w:rPr>
          <w:rFonts w:ascii="Garamond" w:hAnsi="Garamond" w:cs="Times New Roman"/>
          <w:color w:val="000000"/>
          <w:sz w:val="24"/>
          <w:szCs w:val="24"/>
          <w:lang w:val="en-GB"/>
        </w:rPr>
        <w:t>ing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such cases thus appears to be </w:t>
      </w:r>
      <w:r w:rsidR="00513829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firmly 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>a thing of the past (</w:t>
      </w:r>
      <w:r w:rsidR="0016069A" w:rsidRPr="0016069A">
        <w:rPr>
          <w:rFonts w:ascii="Garamond" w:hAnsi="Garamond" w:cs="Times New Roman"/>
          <w:i/>
          <w:iCs/>
          <w:color w:val="000000"/>
          <w:sz w:val="24"/>
          <w:szCs w:val="24"/>
          <w:lang w:val="en-GB"/>
        </w:rPr>
        <w:t>South West Africa</w:t>
      </w:r>
      <w:r w:rsidR="0016069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). 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>The ICJ is by no means the only institut</w:t>
      </w:r>
      <w:r w:rsidR="00CA0AD6">
        <w:rPr>
          <w:rFonts w:ascii="Garamond" w:hAnsi="Garamond" w:cs="Times New Roman"/>
          <w:color w:val="000000"/>
          <w:sz w:val="24"/>
          <w:szCs w:val="24"/>
          <w:lang w:val="en-GB"/>
        </w:rPr>
        <w:t>ion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capable </w:t>
      </w:r>
      <w:r w:rsidR="00536305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of 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or willing to hear such cases, and this call for papers encourages proposals concerning a range of institutions, </w:t>
      </w:r>
      <w:r w:rsidR="00536305">
        <w:rPr>
          <w:rFonts w:ascii="Garamond" w:hAnsi="Garamond" w:cs="Times New Roman"/>
          <w:color w:val="000000"/>
          <w:sz w:val="24"/>
          <w:szCs w:val="24"/>
          <w:lang w:val="en-GB"/>
        </w:rPr>
        <w:t>such as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the </w:t>
      </w:r>
      <w:r w:rsidR="00192ABB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regional human rights courts and </w:t>
      </w:r>
      <w:r w:rsidR="00723035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other </w:t>
      </w:r>
      <w:r w:rsidR="00192ABB">
        <w:rPr>
          <w:rFonts w:ascii="Garamond" w:hAnsi="Garamond" w:cs="Times New Roman"/>
          <w:color w:val="000000"/>
          <w:sz w:val="24"/>
          <w:szCs w:val="24"/>
          <w:lang w:val="en-GB"/>
        </w:rPr>
        <w:t>human rights bodies</w:t>
      </w:r>
      <w:r w:rsidR="0015629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, the International Tribunal for the Law of the Sea, and inter-state arbitration tribunals. </w:t>
      </w:r>
      <w:r w:rsidR="004125D6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Proposals may focus on contentious as well as advisory proceedings. </w:t>
      </w:r>
      <w:r w:rsidR="001B6BF2">
        <w:rPr>
          <w:rFonts w:ascii="Garamond" w:hAnsi="Garamond" w:cs="Times New Roman"/>
          <w:color w:val="000000"/>
          <w:sz w:val="24"/>
          <w:szCs w:val="24"/>
          <w:lang w:val="en-GB"/>
        </w:rPr>
        <w:t>Subject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>s</w:t>
      </w:r>
      <w:r w:rsidR="001B6BF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of particular interest include: </w:t>
      </w:r>
    </w:p>
    <w:p w14:paraId="5C9117BA" w14:textId="77777777" w:rsidR="00CA0AD6" w:rsidRDefault="00CA0AD6" w:rsidP="001F7492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</w:p>
    <w:p w14:paraId="4F8E8CD6" w14:textId="363535D3" w:rsidR="00CA0AD6" w:rsidRDefault="00CA0AD6" w:rsidP="00CA0AD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potential benefits and </w:t>
      </w:r>
      <w:r w:rsidR="00A53D72">
        <w:rPr>
          <w:rFonts w:ascii="Garamond" w:hAnsi="Garamond" w:cs="Times New Roman"/>
          <w:color w:val="000000"/>
          <w:sz w:val="24"/>
          <w:szCs w:val="24"/>
          <w:lang w:val="en-GB"/>
        </w:rPr>
        <w:t>risks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of public interest litigation before international courts and tribunals, whether legal</w:t>
      </w:r>
      <w:r w:rsidR="00536305">
        <w:rPr>
          <w:rFonts w:ascii="Garamond" w:hAnsi="Garamond" w:cs="Times New Roman"/>
          <w:color w:val="000000"/>
          <w:sz w:val="24"/>
          <w:szCs w:val="24"/>
          <w:lang w:val="en-GB"/>
        </w:rPr>
        <w:t>, political,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or practical; </w:t>
      </w:r>
    </w:p>
    <w:p w14:paraId="02603642" w14:textId="2C83F29D" w:rsidR="004125D6" w:rsidRPr="00CA0AD6" w:rsidRDefault="004125D6" w:rsidP="00CA0AD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potential legal </w:t>
      </w:r>
      <w:r w:rsidR="008F4A4C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or doctrinal 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>obstacles to public interest litigation before international courts and tribunals;</w:t>
      </w:r>
    </w:p>
    <w:p w14:paraId="3462C947" w14:textId="321C8BC0" w:rsidR="00CA0AD6" w:rsidRDefault="00CA0AD6" w:rsidP="00CA0AD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In-depth studies of particular cases, </w:t>
      </w:r>
      <w:r w:rsidR="00536305">
        <w:rPr>
          <w:rFonts w:ascii="Garamond" w:hAnsi="Garamond" w:cs="Times New Roman"/>
          <w:color w:val="000000"/>
          <w:sz w:val="24"/>
          <w:szCs w:val="24"/>
          <w:lang w:val="en-GB"/>
        </w:rPr>
        <w:t>such as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those that are ongoing or recently concluded; </w:t>
      </w:r>
    </w:p>
    <w:p w14:paraId="5F468124" w14:textId="6BE04543" w:rsidR="00CA0AD6" w:rsidRDefault="00CA0AD6" w:rsidP="00CA0AD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Comparative analyses of public interest litigation before domestic and international courts and tribunals</w:t>
      </w:r>
      <w:r w:rsidR="00460D95">
        <w:rPr>
          <w:rFonts w:ascii="Garamond" w:hAnsi="Garamond" w:cs="Times New Roman"/>
          <w:color w:val="000000"/>
          <w:sz w:val="24"/>
          <w:szCs w:val="24"/>
          <w:lang w:val="en-GB"/>
        </w:rPr>
        <w:t>, or before different international institutions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; and  </w:t>
      </w:r>
    </w:p>
    <w:p w14:paraId="33884B32" w14:textId="74EEE3D7" w:rsidR="008108EF" w:rsidRDefault="00CA0AD6" w:rsidP="002257B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history and the future of public interest litigation before international courts and tribunals.  </w:t>
      </w:r>
    </w:p>
    <w:p w14:paraId="0BA7B202" w14:textId="77777777" w:rsidR="00CA0AD6" w:rsidRPr="00CA0AD6" w:rsidRDefault="00CA0AD6" w:rsidP="00CA0AD6">
      <w:pPr>
        <w:pStyle w:val="ListParagraph"/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</w:p>
    <w:p w14:paraId="295C4C43" w14:textId="325EBC7D" w:rsidR="003653C9" w:rsidRPr="002257BE" w:rsidRDefault="00D17F38" w:rsidP="002257BE">
      <w:p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M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embers of the Interest Group are invited to submit abstracts of up to 500 words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by emailing them to </w:t>
      </w:r>
      <w:hyperlink r:id="rId6" w:history="1">
        <w:r w:rsidRPr="002257BE">
          <w:rPr>
            <w:rStyle w:val="Hyperlink"/>
            <w:rFonts w:ascii="Garamond" w:hAnsi="Garamond"/>
            <w:sz w:val="24"/>
            <w:szCs w:val="24"/>
          </w:rPr>
          <w:t>igictesil@gmail.com</w:t>
        </w:r>
      </w:hyperlink>
      <w:r w:rsidRPr="002257BE">
        <w:rPr>
          <w:rFonts w:ascii="Garamond" w:hAnsi="Garamond" w:cs="Times New Roman"/>
          <w:color w:val="000000" w:themeColor="text1"/>
          <w:sz w:val="24"/>
          <w:szCs w:val="24"/>
        </w:rPr>
        <w:t>.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C74BC5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</w:t>
      </w:r>
      <w:r w:rsidR="00C74BC5">
        <w:rPr>
          <w:rFonts w:ascii="Garamond" w:hAnsi="Garamond" w:cs="Times New Roman"/>
          <w:b/>
          <w:bCs/>
          <w:color w:val="000000"/>
          <w:sz w:val="24"/>
          <w:szCs w:val="24"/>
          <w:lang w:val="en-GB"/>
        </w:rPr>
        <w:t>d</w:t>
      </w:r>
      <w:r w:rsidRPr="002257BE">
        <w:rPr>
          <w:rFonts w:ascii="Garamond" w:hAnsi="Garamond" w:cs="Times New Roman"/>
          <w:b/>
          <w:bCs/>
          <w:color w:val="000000"/>
          <w:sz w:val="24"/>
          <w:szCs w:val="24"/>
          <w:lang w:val="en-GB"/>
        </w:rPr>
        <w:t xml:space="preserve">eadline for submitting abstracts is </w:t>
      </w:r>
      <w:r w:rsidR="00192ABB">
        <w:rPr>
          <w:rFonts w:ascii="Garamond" w:hAnsi="Garamond" w:cs="Times New Roman"/>
          <w:b/>
          <w:bCs/>
          <w:color w:val="000000"/>
          <w:sz w:val="24"/>
          <w:szCs w:val="24"/>
          <w:u w:val="single"/>
          <w:lang w:val="en-GB"/>
        </w:rPr>
        <w:t>30</w:t>
      </w:r>
      <w:r w:rsidR="00CA0AD6">
        <w:rPr>
          <w:rFonts w:ascii="Garamond" w:hAnsi="Garamond" w:cs="Times New Roman"/>
          <w:b/>
          <w:bCs/>
          <w:color w:val="000000"/>
          <w:sz w:val="24"/>
          <w:szCs w:val="24"/>
          <w:u w:val="single"/>
          <w:lang w:val="en-GB"/>
        </w:rPr>
        <w:t xml:space="preserve"> April </w:t>
      </w:r>
      <w:r w:rsidRPr="002257BE">
        <w:rPr>
          <w:rFonts w:ascii="Garamond" w:hAnsi="Garamond" w:cs="Times New Roman"/>
          <w:b/>
          <w:bCs/>
          <w:color w:val="000000"/>
          <w:sz w:val="24"/>
          <w:szCs w:val="24"/>
          <w:u w:val="single"/>
          <w:lang w:val="en-GB"/>
        </w:rPr>
        <w:t>2021</w:t>
      </w:r>
      <w:r w:rsidRPr="002257BE">
        <w:rPr>
          <w:rFonts w:ascii="Garamond" w:hAnsi="Garamond" w:cs="Times New Roman"/>
          <w:b/>
          <w:bCs/>
          <w:color w:val="000000"/>
          <w:sz w:val="24"/>
          <w:szCs w:val="24"/>
          <w:lang w:val="en-GB"/>
        </w:rPr>
        <w:t xml:space="preserve">. </w:t>
      </w:r>
    </w:p>
    <w:p w14:paraId="236821F1" w14:textId="77777777" w:rsidR="003653C9" w:rsidRPr="002257BE" w:rsidRDefault="003653C9" w:rsidP="002257BE">
      <w:p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FF"/>
          <w:sz w:val="24"/>
          <w:szCs w:val="24"/>
          <w:lang w:val="en-GB"/>
        </w:rPr>
      </w:pPr>
    </w:p>
    <w:p w14:paraId="1AAA40EF" w14:textId="77777777" w:rsidR="003653C9" w:rsidRPr="002257BE" w:rsidRDefault="003653C9" w:rsidP="002257BE">
      <w:p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lastRenderedPageBreak/>
        <w:t>The following information must be provided with each abstract:</w:t>
      </w:r>
    </w:p>
    <w:p w14:paraId="2D1CEDD4" w14:textId="7FA2C084" w:rsidR="003653C9" w:rsidRPr="002257BE" w:rsidRDefault="003653C9" w:rsidP="002257BE">
      <w:pPr>
        <w:pStyle w:val="ListParagraph"/>
        <w:numPr>
          <w:ilvl w:val="0"/>
          <w:numId w:val="3"/>
        </w:numPr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The author’s name and affiliation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</w:p>
    <w:p w14:paraId="15AEFBC7" w14:textId="1F632BB1" w:rsidR="003653C9" w:rsidRPr="002257BE" w:rsidRDefault="003653C9" w:rsidP="002257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The author’s CV, including a list of relevant publications</w:t>
      </w:r>
    </w:p>
    <w:p w14:paraId="08DDF2EB" w14:textId="12C9DBEF" w:rsidR="00B1038B" w:rsidRDefault="003653C9" w:rsidP="00B1038B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Authors of selected abstracts will be notified by </w:t>
      </w:r>
      <w:r w:rsidR="00192ABB">
        <w:rPr>
          <w:rFonts w:ascii="Garamond" w:hAnsi="Garamond" w:cs="Times New Roman"/>
          <w:color w:val="000000"/>
          <w:sz w:val="24"/>
          <w:szCs w:val="24"/>
          <w:lang w:val="en-GB"/>
        </w:rPr>
        <w:t>1</w:t>
      </w:r>
      <w:r w:rsidR="008108EF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7F4251">
        <w:rPr>
          <w:rFonts w:ascii="Garamond" w:hAnsi="Garamond" w:cs="Times New Roman"/>
          <w:color w:val="000000"/>
          <w:sz w:val="24"/>
          <w:szCs w:val="24"/>
          <w:lang w:val="en-GB"/>
        </w:rPr>
        <w:t>May 2021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.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D17F38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D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raft papers </w:t>
      </w:r>
      <w:r w:rsidR="00D17F38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should be submitted 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by </w:t>
      </w:r>
      <w:r w:rsidR="00192ABB">
        <w:rPr>
          <w:rFonts w:ascii="Garamond" w:hAnsi="Garamond" w:cs="Times New Roman"/>
          <w:color w:val="000000"/>
          <w:sz w:val="24"/>
          <w:szCs w:val="24"/>
          <w:lang w:val="en-GB"/>
        </w:rPr>
        <w:t>30</w:t>
      </w:r>
      <w:r w:rsidR="008108EF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7F4251">
        <w:rPr>
          <w:rFonts w:ascii="Garamond" w:hAnsi="Garamond" w:cs="Times New Roman"/>
          <w:color w:val="000000"/>
          <w:sz w:val="24"/>
          <w:szCs w:val="24"/>
          <w:lang w:val="en-GB"/>
        </w:rPr>
        <w:t>August 2021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. The draft</w:t>
      </w:r>
      <w:r w:rsidR="00D17F38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s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will be circulated among the participants</w:t>
      </w:r>
      <w:r w:rsidR="007706B0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in the side event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.</w:t>
      </w:r>
    </w:p>
    <w:p w14:paraId="5B4A9D53" w14:textId="6757DABA" w:rsidR="002257BE" w:rsidRPr="008108EF" w:rsidRDefault="00CA0AD6" w:rsidP="008108EF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We plan to pursue the publication of the papers presented in a peer review journal</w:t>
      </w:r>
      <w:r w:rsidR="00A03FE8" w:rsidRPr="002257BE">
        <w:rPr>
          <w:rFonts w:ascii="Garamond" w:hAnsi="Garamond"/>
          <w:sz w:val="24"/>
          <w:szCs w:val="24"/>
        </w:rPr>
        <w:t>.</w:t>
      </w:r>
    </w:p>
    <w:p w14:paraId="5DF8D17F" w14:textId="66E7879E" w:rsidR="00D17F38" w:rsidRPr="00FF0691" w:rsidRDefault="00D17F38" w:rsidP="002257BE">
      <w:p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FF0691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For substantive questions, please contact the Interest Group convenors: </w:t>
      </w:r>
    </w:p>
    <w:p w14:paraId="3293C1AD" w14:textId="3A8FE930" w:rsidR="00D17F38" w:rsidRPr="002257BE" w:rsidRDefault="00D17F38" w:rsidP="002257BE">
      <w:pPr>
        <w:autoSpaceDE w:val="0"/>
        <w:autoSpaceDN w:val="0"/>
        <w:adjustRightInd w:val="0"/>
        <w:spacing w:afterLines="40" w:after="96" w:line="240" w:lineRule="auto"/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</w:pPr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Veronika Fikfak (</w:t>
      </w:r>
      <w:hyperlink r:id="rId7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veronika.fikfak@jur.ku.dk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); Edouard Fromageau (</w:t>
      </w:r>
      <w:hyperlink r:id="rId8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edouard.fromageau@abdn.ac.uk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); Machiko Kanetake (</w:t>
      </w:r>
      <w:hyperlink r:id="rId9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m.kanetake@uu.nl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); Cecily Rose (</w:t>
      </w:r>
      <w:hyperlink r:id="rId10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c.e.rose@law.leidenuniv.nl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 and Stephan Wittich (</w:t>
      </w:r>
      <w:hyperlink r:id="rId11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stephan.wittich@univie.ac.at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).</w:t>
      </w:r>
    </w:p>
    <w:p w14:paraId="2B603A94" w14:textId="77777777" w:rsidR="00B1038B" w:rsidRDefault="00B1038B" w:rsidP="002257BE">
      <w:pPr>
        <w:spacing w:afterLines="40" w:after="96" w:line="240" w:lineRule="auto"/>
        <w:jc w:val="both"/>
        <w:rPr>
          <w:rFonts w:ascii="Garamond" w:hAnsi="Garamond"/>
          <w:sz w:val="24"/>
          <w:szCs w:val="24"/>
        </w:rPr>
      </w:pPr>
    </w:p>
    <w:p w14:paraId="22C18103" w14:textId="3E2B4ADF" w:rsidR="00A03FE8" w:rsidRPr="00FF0691" w:rsidRDefault="003653C9" w:rsidP="002257BE">
      <w:pPr>
        <w:tabs>
          <w:tab w:val="left" w:pos="4820"/>
          <w:tab w:val="left" w:pos="5387"/>
        </w:tabs>
        <w:spacing w:afterLines="40" w:after="96" w:line="240" w:lineRule="auto"/>
        <w:ind w:left="2160" w:firstLine="720"/>
        <w:rPr>
          <w:rFonts w:ascii="Garamond" w:hAnsi="Garamond"/>
          <w:sz w:val="24"/>
          <w:szCs w:val="24"/>
        </w:rPr>
      </w:pPr>
      <w:r w:rsidRPr="00FF0691">
        <w:rPr>
          <w:rFonts w:ascii="Garamond" w:hAnsi="Garamond"/>
          <w:sz w:val="24"/>
          <w:szCs w:val="24"/>
        </w:rPr>
        <w:tab/>
      </w:r>
      <w:r w:rsidRPr="00FF0691">
        <w:rPr>
          <w:rFonts w:ascii="Garamond" w:hAnsi="Garamond"/>
          <w:sz w:val="24"/>
          <w:szCs w:val="24"/>
        </w:rPr>
        <w:tab/>
      </w:r>
    </w:p>
    <w:sectPr w:rsidR="00A03FE8" w:rsidRPr="00FF0691" w:rsidSect="00B1038B">
      <w:pgSz w:w="11906" w:h="16838"/>
      <w:pgMar w:top="1692" w:right="1440" w:bottom="163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C0B30"/>
    <w:multiLevelType w:val="hybridMultilevel"/>
    <w:tmpl w:val="DDEC4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4C67"/>
    <w:multiLevelType w:val="hybridMultilevel"/>
    <w:tmpl w:val="88D01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96CEF"/>
    <w:multiLevelType w:val="hybridMultilevel"/>
    <w:tmpl w:val="09AA1B38"/>
    <w:lvl w:ilvl="0" w:tplc="CC2C2AAA">
      <w:numFmt w:val="bullet"/>
      <w:lvlText w:val="•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52E32"/>
    <w:multiLevelType w:val="multilevel"/>
    <w:tmpl w:val="DC949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5D56D0"/>
    <w:multiLevelType w:val="hybridMultilevel"/>
    <w:tmpl w:val="8006D1BE"/>
    <w:lvl w:ilvl="0" w:tplc="81ECB984">
      <w:numFmt w:val="bullet"/>
      <w:lvlText w:val="•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10E7F"/>
    <w:multiLevelType w:val="hybridMultilevel"/>
    <w:tmpl w:val="A2A8A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94E8C"/>
    <w:multiLevelType w:val="hybridMultilevel"/>
    <w:tmpl w:val="0A4C6396"/>
    <w:lvl w:ilvl="0" w:tplc="8842A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FE8"/>
    <w:rsid w:val="000D7D7A"/>
    <w:rsid w:val="00156290"/>
    <w:rsid w:val="0016069A"/>
    <w:rsid w:val="00192ABB"/>
    <w:rsid w:val="001A4AF4"/>
    <w:rsid w:val="001B6BF2"/>
    <w:rsid w:val="001F7492"/>
    <w:rsid w:val="00201438"/>
    <w:rsid w:val="002257BE"/>
    <w:rsid w:val="002959EF"/>
    <w:rsid w:val="003653C9"/>
    <w:rsid w:val="004125D6"/>
    <w:rsid w:val="00460D95"/>
    <w:rsid w:val="00513829"/>
    <w:rsid w:val="00536305"/>
    <w:rsid w:val="00723035"/>
    <w:rsid w:val="007706B0"/>
    <w:rsid w:val="00791C31"/>
    <w:rsid w:val="0079306A"/>
    <w:rsid w:val="007F4251"/>
    <w:rsid w:val="008108EF"/>
    <w:rsid w:val="008473EB"/>
    <w:rsid w:val="008E7981"/>
    <w:rsid w:val="008F4A4C"/>
    <w:rsid w:val="0090424C"/>
    <w:rsid w:val="00953069"/>
    <w:rsid w:val="00A03FE8"/>
    <w:rsid w:val="00A52CBE"/>
    <w:rsid w:val="00A53D72"/>
    <w:rsid w:val="00B1038B"/>
    <w:rsid w:val="00BA00D5"/>
    <w:rsid w:val="00BD236C"/>
    <w:rsid w:val="00C1387F"/>
    <w:rsid w:val="00C404AF"/>
    <w:rsid w:val="00C4299F"/>
    <w:rsid w:val="00C50E6D"/>
    <w:rsid w:val="00C74BC5"/>
    <w:rsid w:val="00CA0AD6"/>
    <w:rsid w:val="00CA7527"/>
    <w:rsid w:val="00CF2FDF"/>
    <w:rsid w:val="00D133BC"/>
    <w:rsid w:val="00D1731B"/>
    <w:rsid w:val="00D17F38"/>
    <w:rsid w:val="00D84EE8"/>
    <w:rsid w:val="00D93C3A"/>
    <w:rsid w:val="00DD1682"/>
    <w:rsid w:val="00E93267"/>
    <w:rsid w:val="00F54538"/>
    <w:rsid w:val="00F7597B"/>
    <w:rsid w:val="00F7742B"/>
    <w:rsid w:val="00F84D42"/>
    <w:rsid w:val="00F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064A5"/>
  <w15:chartTrackingRefBased/>
  <w15:docId w15:val="{180B091C-A75A-934D-9F9F-2ED18A8F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FE8"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03FE8"/>
    <w:pPr>
      <w:snapToGrid w:val="0"/>
      <w:spacing w:after="120" w:line="240" w:lineRule="auto"/>
      <w:ind w:right="-46"/>
      <w:jc w:val="both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FE8"/>
    <w:rPr>
      <w:rFonts w:ascii="Times New Roman" w:eastAsia="Times New Roman" w:hAnsi="Times New Roman" w:cs="Times New Roman"/>
      <w:b/>
      <w:bCs/>
      <w:color w:val="000000" w:themeColor="text1"/>
      <w:lang w:eastAsia="en-GB"/>
    </w:rPr>
  </w:style>
  <w:style w:type="character" w:styleId="Hyperlink">
    <w:name w:val="Hyperlink"/>
    <w:basedOn w:val="DefaultParagraphFont"/>
    <w:uiPriority w:val="99"/>
    <w:unhideWhenUsed/>
    <w:rsid w:val="00A03FE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53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74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F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74B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B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B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BC5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B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BC5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ouard.fromageau@abdn.ac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eronika.fikfak@jur.k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gictesil@gmail.com" TargetMode="External"/><Relationship Id="rId11" Type="http://schemas.openxmlformats.org/officeDocument/2006/relationships/hyperlink" Target="mailto:stephan.wittich@univie.ac.at" TargetMode="External"/><Relationship Id="rId5" Type="http://schemas.openxmlformats.org/officeDocument/2006/relationships/image" Target="media/image1.tiff"/><Relationship Id="rId10" Type="http://schemas.openxmlformats.org/officeDocument/2006/relationships/hyperlink" Target="mailto:c.e.rose@law.leidenuniv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.kanetake@uu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Fikfak</dc:creator>
  <cp:keywords/>
  <dc:description/>
  <cp:lastModifiedBy>Chanter, Demeter</cp:lastModifiedBy>
  <cp:revision>2</cp:revision>
  <dcterms:created xsi:type="dcterms:W3CDTF">2021-03-31T13:25:00Z</dcterms:created>
  <dcterms:modified xsi:type="dcterms:W3CDTF">2021-03-31T13:25:00Z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2630e2-1ac5-455e-8217-0156b1936a76_Enabled">
    <vt:lpwstr>true</vt:lpwstr>
  </property>
  <property fmtid="{D5CDD505-2E9C-101B-9397-08002B2CF9AE}" pid="3" name="MSIP_Label_6a2630e2-1ac5-455e-8217-0156b1936a76_SetDate">
    <vt:lpwstr>2020-12-28T16:21:43Z</vt:lpwstr>
  </property>
  <property fmtid="{D5CDD505-2E9C-101B-9397-08002B2CF9AE}" pid="4" name="MSIP_Label_6a2630e2-1ac5-455e-8217-0156b1936a76_Method">
    <vt:lpwstr>Standard</vt:lpwstr>
  </property>
  <property fmtid="{D5CDD505-2E9C-101B-9397-08002B2CF9AE}" pid="5" name="MSIP_Label_6a2630e2-1ac5-455e-8217-0156b1936a76_Name">
    <vt:lpwstr>Notclass</vt:lpwstr>
  </property>
  <property fmtid="{D5CDD505-2E9C-101B-9397-08002B2CF9AE}" pid="6" name="MSIP_Label_6a2630e2-1ac5-455e-8217-0156b1936a76_SiteId">
    <vt:lpwstr>a3927f91-cda1-4696-af89-8c9f1ceffa91</vt:lpwstr>
  </property>
  <property fmtid="{D5CDD505-2E9C-101B-9397-08002B2CF9AE}" pid="7" name="MSIP_Label_6a2630e2-1ac5-455e-8217-0156b1936a76_ActionId">
    <vt:lpwstr>5e3ab2bc-c686-4770-a57e-0ca9eb975585</vt:lpwstr>
  </property>
  <property fmtid="{D5CDD505-2E9C-101B-9397-08002B2CF9AE}" pid="8" name="MSIP_Label_6a2630e2-1ac5-455e-8217-0156b1936a76_ContentBits">
    <vt:lpwstr>0</vt:lpwstr>
  </property>
</Properties>
</file>